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
          <w:bCs/>
          <w:sz w:val="44"/>
          <w:szCs w:val="44"/>
          <w:highlight w:val="none"/>
        </w:rPr>
      </w:pPr>
      <w:r>
        <w:rPr>
          <w:rFonts w:hint="eastAsia" w:ascii="方正小标宋_GBK" w:hAnsi="方正小标宋_GBK" w:eastAsia="方正小标宋_GBK" w:cs="方正小标宋_GBK"/>
          <w:b/>
          <w:bCs/>
          <w:sz w:val="44"/>
          <w:szCs w:val="44"/>
          <w:highlight w:val="none"/>
        </w:rPr>
        <w:t>新疆</w:t>
      </w:r>
      <w:r>
        <w:rPr>
          <w:rFonts w:hint="eastAsia" w:ascii="方正小标宋_GBK" w:hAnsi="方正小标宋_GBK" w:eastAsia="方正小标宋_GBK" w:cs="方正小标宋_GBK"/>
          <w:b/>
          <w:bCs/>
          <w:sz w:val="44"/>
          <w:szCs w:val="44"/>
          <w:highlight w:val="none"/>
          <w:lang w:val="en-US" w:eastAsia="zh-CN"/>
        </w:rPr>
        <w:t>维吾尔自治区</w:t>
      </w:r>
      <w:r>
        <w:rPr>
          <w:rFonts w:hint="eastAsia" w:ascii="方正小标宋_GBK" w:hAnsi="方正小标宋_GBK" w:eastAsia="方正小标宋_GBK" w:cs="方正小标宋_GBK"/>
          <w:b/>
          <w:bCs/>
          <w:sz w:val="44"/>
          <w:szCs w:val="44"/>
          <w:highlight w:val="none"/>
        </w:rPr>
        <w:t>城乡居民医疗保险</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sz w:val="24"/>
          <w:szCs w:val="24"/>
          <w:highlight w:val="none"/>
          <w:lang w:val="en-US" w:eastAsia="zh-CN"/>
        </w:rPr>
      </w:pPr>
      <w:r>
        <w:rPr>
          <w:rFonts w:hint="eastAsia" w:ascii="方正小标宋_GBK" w:hAnsi="方正小标宋_GBK" w:eastAsia="方正小标宋_GBK" w:cs="方正小标宋_GBK"/>
          <w:b/>
          <w:bCs/>
          <w:sz w:val="44"/>
          <w:szCs w:val="44"/>
          <w:highlight w:val="none"/>
        </w:rPr>
        <w:t>补助资金项目绩效自评报告</w:t>
      </w:r>
    </w:p>
    <w:p>
      <w:pPr>
        <w:spacing w:line="480" w:lineRule="auto"/>
        <w:ind w:firstLine="640" w:firstLineChars="200"/>
        <w:rPr>
          <w:rFonts w:hint="eastAsia" w:ascii="仿宋_GB2312" w:hAnsi="仿宋_GB2312" w:eastAsia="仿宋_GB2312" w:cs="仿宋_GB2312"/>
          <w:sz w:val="32"/>
          <w:szCs w:val="32"/>
          <w:highlight w:val="none"/>
          <w:lang w:val="en-US" w:eastAsia="zh-CN"/>
        </w:rPr>
      </w:pP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方正仿宋_GB2312" w:hAnsi="方正仿宋_GB2312" w:eastAsia="方正仿宋_GB2312" w:cs="方正仿宋_GB2312"/>
          <w:sz w:val="32"/>
          <w:szCs w:val="32"/>
          <w:highlight w:val="none"/>
          <w:lang w:val="en-US" w:eastAsia="zh-CN"/>
        </w:rPr>
      </w:pPr>
      <w:r>
        <w:rPr>
          <w:rFonts w:hint="eastAsia" w:ascii="方正仿宋_GB2312" w:hAnsi="方正仿宋_GB2312" w:eastAsia="方正仿宋_GB2312" w:cs="方正仿宋_GB2312"/>
          <w:sz w:val="32"/>
          <w:szCs w:val="32"/>
          <w:highlight w:val="none"/>
        </w:rPr>
        <w:t>为深入贯彻党的十九大报告中提出的“建立全面规范透明、标准科学、约束有力的预算制度，全面实施绩效管理”要求，检验财政资金支出预期目标实现程度，考核财政资金支出效率和综合效果，根据《自治区党委</w:t>
      </w:r>
      <w:r>
        <w:rPr>
          <w:rFonts w:hint="eastAsia" w:ascii="方正仿宋_GB2312" w:hAnsi="方正仿宋_GB2312" w:eastAsia="方正仿宋_GB2312" w:cs="方正仿宋_GB2312"/>
          <w:sz w:val="32"/>
          <w:szCs w:val="32"/>
          <w:highlight w:val="none"/>
          <w:lang w:eastAsia="zh-CN"/>
        </w:rPr>
        <w:t>、</w:t>
      </w:r>
      <w:r>
        <w:rPr>
          <w:rFonts w:hint="eastAsia" w:ascii="方正仿宋_GB2312" w:hAnsi="方正仿宋_GB2312" w:eastAsia="方正仿宋_GB2312" w:cs="方正仿宋_GB2312"/>
          <w:sz w:val="32"/>
          <w:szCs w:val="32"/>
          <w:highlight w:val="none"/>
        </w:rPr>
        <w:t>自治区人民政府关于全面实施预算绩效管理的实施意见》（新党发〔2018〕285号）《关于印发&lt;项目支出绩效评价管理办法&gt;的通知》（财预〔2020〕10号）《关于印发&lt;自治区本级财政支出绩效评价管理暂行办法&gt;的通知》（新财预〔2018〕188号）文件要求及</w:t>
      </w:r>
      <w:r>
        <w:rPr>
          <w:rFonts w:hint="eastAsia" w:ascii="方正仿宋_GB2312" w:hAnsi="方正仿宋_GB2312" w:eastAsia="方正仿宋_GB2312" w:cs="方正仿宋_GB2312"/>
          <w:sz w:val="32"/>
          <w:szCs w:val="32"/>
          <w:highlight w:val="none"/>
          <w:lang w:val="en-US" w:eastAsia="zh-CN"/>
        </w:rPr>
        <w:t>国家医疗保障局</w:t>
      </w:r>
      <w:r>
        <w:rPr>
          <w:rFonts w:hint="eastAsia" w:ascii="方正仿宋_GB2312" w:hAnsi="方正仿宋_GB2312" w:eastAsia="方正仿宋_GB2312" w:cs="方正仿宋_GB2312"/>
          <w:sz w:val="32"/>
          <w:szCs w:val="32"/>
          <w:highlight w:val="none"/>
        </w:rPr>
        <w:t>202</w:t>
      </w:r>
      <w:r>
        <w:rPr>
          <w:rFonts w:hint="eastAsia" w:ascii="方正仿宋_GB2312" w:hAnsi="方正仿宋_GB2312" w:eastAsia="方正仿宋_GB2312" w:cs="方正仿宋_GB2312"/>
          <w:sz w:val="32"/>
          <w:szCs w:val="32"/>
          <w:highlight w:val="none"/>
          <w:lang w:val="en-US" w:eastAsia="zh-CN"/>
        </w:rPr>
        <w:t>2</w:t>
      </w:r>
      <w:r>
        <w:rPr>
          <w:rFonts w:hint="eastAsia" w:ascii="方正仿宋_GB2312" w:hAnsi="方正仿宋_GB2312" w:eastAsia="方正仿宋_GB2312" w:cs="方正仿宋_GB2312"/>
          <w:sz w:val="32"/>
          <w:szCs w:val="32"/>
          <w:highlight w:val="none"/>
        </w:rPr>
        <w:t>年绩效评价</w:t>
      </w:r>
      <w:bookmarkStart w:id="11" w:name="_GoBack"/>
      <w:bookmarkEnd w:id="11"/>
      <w:r>
        <w:rPr>
          <w:rFonts w:hint="eastAsia" w:ascii="方正仿宋_GB2312" w:hAnsi="方正仿宋_GB2312" w:eastAsia="方正仿宋_GB2312" w:cs="方正仿宋_GB2312"/>
          <w:sz w:val="32"/>
          <w:szCs w:val="32"/>
          <w:highlight w:val="none"/>
        </w:rPr>
        <w:t>工作的总体部署，</w:t>
      </w:r>
      <w:r>
        <w:rPr>
          <w:rFonts w:hint="eastAsia" w:ascii="方正仿宋_GB2312" w:hAnsi="方正仿宋_GB2312" w:eastAsia="方正仿宋_GB2312" w:cs="方正仿宋_GB2312"/>
          <w:sz w:val="32"/>
          <w:szCs w:val="32"/>
          <w:highlight w:val="none"/>
          <w:lang w:val="en-US" w:eastAsia="zh-CN"/>
        </w:rPr>
        <w:t>现将新疆维吾尔自治区2022年度城乡居民医疗保险补助资金</w:t>
      </w:r>
      <w:r>
        <w:rPr>
          <w:rFonts w:hint="eastAsia" w:ascii="方正仿宋_GB2312" w:hAnsi="方正仿宋_GB2312" w:eastAsia="方正仿宋_GB2312" w:cs="方正仿宋_GB2312"/>
          <w:sz w:val="32"/>
          <w:szCs w:val="32"/>
          <w:highlight w:val="none"/>
        </w:rPr>
        <w:t>项目绩效</w:t>
      </w:r>
      <w:r>
        <w:rPr>
          <w:rFonts w:hint="eastAsia" w:ascii="方正仿宋_GB2312" w:hAnsi="方正仿宋_GB2312" w:eastAsia="方正仿宋_GB2312" w:cs="方正仿宋_GB2312"/>
          <w:sz w:val="32"/>
          <w:szCs w:val="32"/>
          <w:highlight w:val="none"/>
          <w:lang w:val="en-US" w:eastAsia="zh-CN"/>
        </w:rPr>
        <w:t>自评</w:t>
      </w:r>
      <w:r>
        <w:rPr>
          <w:rFonts w:hint="eastAsia" w:ascii="方正仿宋_GB2312" w:hAnsi="方正仿宋_GB2312" w:eastAsia="方正仿宋_GB2312" w:cs="方正仿宋_GB2312"/>
          <w:sz w:val="32"/>
          <w:szCs w:val="32"/>
          <w:highlight w:val="none"/>
        </w:rPr>
        <w:t>工作，报告</w:t>
      </w:r>
      <w:r>
        <w:rPr>
          <w:rFonts w:hint="eastAsia" w:ascii="方正仿宋_GB2312" w:hAnsi="方正仿宋_GB2312" w:eastAsia="方正仿宋_GB2312" w:cs="方正仿宋_GB2312"/>
          <w:sz w:val="32"/>
          <w:szCs w:val="32"/>
          <w:highlight w:val="none"/>
          <w:lang w:val="en-US" w:eastAsia="zh-CN"/>
        </w:rPr>
        <w:t>如下：</w:t>
      </w:r>
    </w:p>
    <w:p>
      <w:pPr>
        <w:keepNext w:val="0"/>
        <w:keepLines w:val="0"/>
        <w:pageBreakBefore w:val="0"/>
        <w:numPr>
          <w:ilvl w:val="0"/>
          <w:numId w:val="1"/>
        </w:numPr>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rPr>
        <w:t>基本情况</w:t>
      </w:r>
    </w:p>
    <w:p>
      <w:pPr>
        <w:pStyle w:val="17"/>
        <w:keepNext w:val="0"/>
        <w:keepLines w:val="0"/>
        <w:pageBreakBefore w:val="0"/>
        <w:kinsoku/>
        <w:wordWrap/>
        <w:overflowPunct/>
        <w:topLinePunct w:val="0"/>
        <w:autoSpaceDE/>
        <w:autoSpaceDN/>
        <w:bidi w:val="0"/>
        <w:spacing w:line="560" w:lineRule="exact"/>
        <w:ind w:firstLine="640" w:firstLineChars="200"/>
        <w:textAlignment w:val="auto"/>
        <w:rPr>
          <w:rFonts w:hint="eastAsia" w:ascii="楷体" w:hAnsi="楷体" w:eastAsia="楷体" w:cs="楷体"/>
          <w:bCs/>
          <w:kern w:val="2"/>
          <w:sz w:val="32"/>
          <w:szCs w:val="32"/>
          <w:highlight w:val="none"/>
          <w:lang w:val="en-US" w:eastAsia="zh-CN" w:bidi="ar-SA"/>
        </w:rPr>
      </w:pPr>
      <w:r>
        <w:rPr>
          <w:rFonts w:hint="eastAsia" w:ascii="楷体" w:hAnsi="楷体" w:eastAsia="楷体" w:cs="楷体"/>
          <w:bCs/>
          <w:kern w:val="2"/>
          <w:sz w:val="32"/>
          <w:szCs w:val="32"/>
          <w:highlight w:val="none"/>
          <w:lang w:val="en-US" w:eastAsia="zh-CN" w:bidi="ar-SA"/>
        </w:rPr>
        <w:t>（一）项目概括</w:t>
      </w:r>
    </w:p>
    <w:p>
      <w:pPr>
        <w:pStyle w:val="10"/>
        <w:keepNext w:val="0"/>
        <w:keepLines w:val="0"/>
        <w:pageBreakBefore w:val="0"/>
        <w:widowControl/>
        <w:suppressLineNumbers w:val="0"/>
        <w:kinsoku/>
        <w:wordWrap/>
        <w:overflowPunct/>
        <w:topLinePunct w:val="0"/>
        <w:autoSpaceDE/>
        <w:autoSpaceDN/>
        <w:bidi w:val="0"/>
        <w:spacing w:before="0" w:beforeAutospacing="0" w:after="0" w:afterAutospacing="0" w:line="560" w:lineRule="exact"/>
        <w:ind w:left="0" w:right="0" w:firstLine="640" w:firstLineChars="200"/>
        <w:jc w:val="both"/>
        <w:textAlignment w:val="auto"/>
        <w:rPr>
          <w:rFonts w:hint="eastAsia" w:ascii="方正仿宋_GB2312" w:hAnsi="方正仿宋_GB2312" w:eastAsia="方正仿宋_GB2312" w:cs="方正仿宋_GB2312"/>
          <w:bCs/>
          <w:kern w:val="2"/>
          <w:sz w:val="32"/>
          <w:szCs w:val="32"/>
          <w:highlight w:val="none"/>
          <w:lang w:val="en-US" w:eastAsia="zh-CN" w:bidi="ar-SA"/>
        </w:rPr>
      </w:pPr>
      <w:r>
        <w:rPr>
          <w:rFonts w:hint="eastAsia" w:ascii="方正仿宋_GB2312" w:hAnsi="方正仿宋_GB2312" w:eastAsia="方正仿宋_GB2312" w:cs="方正仿宋_GB2312"/>
          <w:bCs/>
          <w:kern w:val="2"/>
          <w:sz w:val="32"/>
          <w:szCs w:val="32"/>
          <w:highlight w:val="none"/>
          <w:lang w:val="en-US" w:eastAsia="zh-CN" w:bidi="ar-SA"/>
        </w:rPr>
        <w:t>1.项目背景</w:t>
      </w:r>
    </w:p>
    <w:p>
      <w:pPr>
        <w:pStyle w:val="10"/>
        <w:keepNext w:val="0"/>
        <w:keepLines w:val="0"/>
        <w:pageBreakBefore w:val="0"/>
        <w:widowControl/>
        <w:suppressLineNumbers w:val="0"/>
        <w:kinsoku/>
        <w:wordWrap/>
        <w:overflowPunct/>
        <w:topLinePunct w:val="0"/>
        <w:autoSpaceDE/>
        <w:autoSpaceDN/>
        <w:bidi w:val="0"/>
        <w:spacing w:before="0" w:beforeAutospacing="0" w:after="0" w:afterAutospacing="0" w:line="560" w:lineRule="exact"/>
        <w:ind w:left="0" w:right="0" w:firstLine="640" w:firstLineChars="200"/>
        <w:jc w:val="both"/>
        <w:textAlignment w:val="auto"/>
        <w:rPr>
          <w:rFonts w:hint="eastAsia" w:ascii="方正仿宋_GB2312" w:hAnsi="方正仿宋_GB2312" w:eastAsia="方正仿宋_GB2312" w:cs="方正仿宋_GB2312"/>
          <w:bCs/>
          <w:kern w:val="2"/>
          <w:sz w:val="32"/>
          <w:szCs w:val="32"/>
          <w:highlight w:val="none"/>
          <w:lang w:val="en-US" w:eastAsia="zh-CN" w:bidi="ar-SA"/>
        </w:rPr>
      </w:pPr>
      <w:r>
        <w:rPr>
          <w:rFonts w:hint="eastAsia" w:ascii="方正仿宋_GB2312" w:hAnsi="方正仿宋_GB2312" w:eastAsia="方正仿宋_GB2312" w:cs="方正仿宋_GB2312"/>
          <w:bCs/>
          <w:kern w:val="2"/>
          <w:sz w:val="32"/>
          <w:szCs w:val="32"/>
          <w:highlight w:val="none"/>
          <w:lang w:val="en-US" w:eastAsia="zh-CN" w:bidi="ar-SA"/>
        </w:rPr>
        <w:t>为贯彻落实党的十九大关于“完善统一的城乡居民基本医疗保险制度和大病保险制度”的决策部署，落实2022年《政府工作报告》任务要求，根据</w:t>
      </w:r>
      <w:r>
        <w:rPr>
          <w:rFonts w:hint="eastAsia" w:ascii="方正仿宋_GB2312" w:hAnsi="方正仿宋_GB2312" w:eastAsia="方正仿宋_GB2312" w:cs="方正仿宋_GB2312"/>
          <w:sz w:val="32"/>
          <w:szCs w:val="32"/>
          <w:highlight w:val="none"/>
        </w:rPr>
        <w:t>《财政部、医保局关于修订&lt;中央财政城乡居民基本医疗保险补助资金管理办法&gt;的通知》（财社〔</w:t>
      </w:r>
      <w:r>
        <w:rPr>
          <w:rFonts w:hint="eastAsia" w:ascii="方正仿宋_GB2312" w:hAnsi="方正仿宋_GB2312" w:eastAsia="方正仿宋_GB2312" w:cs="方正仿宋_GB2312"/>
          <w:sz w:val="32"/>
          <w:szCs w:val="32"/>
          <w:highlight w:val="none"/>
          <w:lang w:val="en-US" w:eastAsia="zh-CN"/>
        </w:rPr>
        <w:t>2022</w:t>
      </w:r>
      <w:r>
        <w:rPr>
          <w:rFonts w:hint="eastAsia" w:ascii="方正仿宋_GB2312" w:hAnsi="方正仿宋_GB2312" w:eastAsia="方正仿宋_GB2312" w:cs="方正仿宋_GB2312"/>
          <w:sz w:val="32"/>
          <w:szCs w:val="32"/>
          <w:highlight w:val="none"/>
        </w:rPr>
        <w:t>〕1号）《基本公共服务领域自治区以下共同财政事权和支出责任划分改革方案》（</w:t>
      </w:r>
      <w:r>
        <w:rPr>
          <w:rFonts w:hint="eastAsia" w:ascii="方正仿宋_GB2312" w:hAnsi="方正仿宋_GB2312" w:eastAsia="方正仿宋_GB2312" w:cs="方正仿宋_GB2312"/>
          <w:sz w:val="32"/>
          <w:szCs w:val="32"/>
          <w:highlight w:val="none"/>
          <w:lang w:val="en-US" w:eastAsia="zh-CN"/>
        </w:rPr>
        <w:t>新政办发</w:t>
      </w:r>
      <w:r>
        <w:rPr>
          <w:rFonts w:hint="eastAsia" w:ascii="方正仿宋_GB2312" w:hAnsi="方正仿宋_GB2312" w:eastAsia="方正仿宋_GB2312" w:cs="方正仿宋_GB2312"/>
          <w:sz w:val="32"/>
          <w:szCs w:val="32"/>
          <w:highlight w:val="none"/>
        </w:rPr>
        <w:t>〔</w:t>
      </w:r>
      <w:r>
        <w:rPr>
          <w:rFonts w:hint="eastAsia" w:ascii="方正仿宋_GB2312" w:hAnsi="方正仿宋_GB2312" w:eastAsia="方正仿宋_GB2312" w:cs="方正仿宋_GB2312"/>
          <w:sz w:val="32"/>
          <w:szCs w:val="32"/>
          <w:highlight w:val="none"/>
          <w:lang w:val="en-US" w:eastAsia="zh-CN"/>
        </w:rPr>
        <w:t>2019</w:t>
      </w:r>
      <w:r>
        <w:rPr>
          <w:rFonts w:hint="eastAsia" w:ascii="方正仿宋_GB2312" w:hAnsi="方正仿宋_GB2312" w:eastAsia="方正仿宋_GB2312" w:cs="方正仿宋_GB2312"/>
          <w:sz w:val="32"/>
          <w:szCs w:val="32"/>
          <w:highlight w:val="none"/>
        </w:rPr>
        <w:t>〕</w:t>
      </w:r>
      <w:r>
        <w:rPr>
          <w:rFonts w:hint="eastAsia" w:ascii="方正仿宋_GB2312" w:hAnsi="方正仿宋_GB2312" w:eastAsia="方正仿宋_GB2312" w:cs="方正仿宋_GB2312"/>
          <w:sz w:val="32"/>
          <w:szCs w:val="32"/>
          <w:highlight w:val="none"/>
          <w:lang w:val="en-US" w:eastAsia="zh-CN"/>
        </w:rPr>
        <w:t>99</w:t>
      </w:r>
      <w:r>
        <w:rPr>
          <w:rFonts w:hint="eastAsia" w:ascii="方正仿宋_GB2312" w:hAnsi="方正仿宋_GB2312" w:eastAsia="方正仿宋_GB2312" w:cs="方正仿宋_GB2312"/>
          <w:sz w:val="32"/>
          <w:szCs w:val="32"/>
          <w:highlight w:val="none"/>
        </w:rPr>
        <w:t>号）</w:t>
      </w:r>
      <w:r>
        <w:rPr>
          <w:rFonts w:hint="eastAsia" w:ascii="方正仿宋_GB2312" w:hAnsi="方正仿宋_GB2312" w:eastAsia="方正仿宋_GB2312" w:cs="方正仿宋_GB2312"/>
          <w:bCs/>
          <w:kern w:val="2"/>
          <w:sz w:val="32"/>
          <w:szCs w:val="32"/>
          <w:highlight w:val="none"/>
          <w:lang w:val="en-US" w:eastAsia="zh-CN" w:bidi="ar-SA"/>
        </w:rPr>
        <w:t>《国家医保局、财政部、国家税务总局关于做好2022年城乡居民基本医疗保障工作的通知》（医保发</w:t>
      </w:r>
      <w:r>
        <w:rPr>
          <w:rFonts w:hint="eastAsia" w:ascii="方正仿宋_GB2312" w:hAnsi="方正仿宋_GB2312" w:eastAsia="方正仿宋_GB2312" w:cs="方正仿宋_GB2312"/>
          <w:sz w:val="32"/>
          <w:szCs w:val="32"/>
          <w:highlight w:val="none"/>
        </w:rPr>
        <w:t>〔</w:t>
      </w:r>
      <w:r>
        <w:rPr>
          <w:rFonts w:hint="eastAsia" w:ascii="方正仿宋_GB2312" w:hAnsi="方正仿宋_GB2312" w:eastAsia="方正仿宋_GB2312" w:cs="方正仿宋_GB2312"/>
          <w:sz w:val="32"/>
          <w:szCs w:val="32"/>
          <w:highlight w:val="none"/>
          <w:lang w:val="en-US" w:eastAsia="zh-CN"/>
        </w:rPr>
        <w:t>2022</w:t>
      </w:r>
      <w:r>
        <w:rPr>
          <w:rFonts w:hint="eastAsia" w:ascii="方正仿宋_GB2312" w:hAnsi="方正仿宋_GB2312" w:eastAsia="方正仿宋_GB2312" w:cs="方正仿宋_GB2312"/>
          <w:sz w:val="32"/>
          <w:szCs w:val="32"/>
          <w:highlight w:val="none"/>
        </w:rPr>
        <w:t>〕</w:t>
      </w:r>
      <w:r>
        <w:rPr>
          <w:rFonts w:hint="eastAsia" w:ascii="方正仿宋_GB2312" w:hAnsi="方正仿宋_GB2312" w:eastAsia="方正仿宋_GB2312" w:cs="方正仿宋_GB2312"/>
          <w:sz w:val="32"/>
          <w:szCs w:val="32"/>
          <w:highlight w:val="none"/>
          <w:lang w:val="en-US" w:eastAsia="zh-CN"/>
        </w:rPr>
        <w:t>20</w:t>
      </w:r>
      <w:r>
        <w:rPr>
          <w:rFonts w:hint="eastAsia" w:ascii="方正仿宋_GB2312" w:hAnsi="方正仿宋_GB2312" w:eastAsia="方正仿宋_GB2312" w:cs="方正仿宋_GB2312"/>
          <w:bCs/>
          <w:kern w:val="2"/>
          <w:sz w:val="32"/>
          <w:szCs w:val="32"/>
          <w:highlight w:val="none"/>
          <w:lang w:val="en-US" w:eastAsia="zh-CN" w:bidi="ar-SA"/>
        </w:rPr>
        <w:t>号）精神，全面建立统一的城乡居民医保制度，积极推进全民参保计划，建立起覆盖全民多层次医疗保障体系。按照国家公布的年度政府补助标准全额补助，稳步提高财政补助资金，确保城乡居民基本医疗保险参保人员的医疗待遇落实。根据《关于做好2022年我区城乡居民基本医疗保障工作的通知》（新医保发〔2022〕34号），全年有序开展城乡居民基本医疗保障工作。2022年全区城乡居民基本医疗保险参保率稳定在95%以上。</w:t>
      </w:r>
    </w:p>
    <w:p>
      <w:pPr>
        <w:pStyle w:val="4"/>
        <w:keepNext w:val="0"/>
        <w:keepLines w:val="0"/>
        <w:pageBreakBefore w:val="0"/>
        <w:kinsoku/>
        <w:wordWrap/>
        <w:overflowPunct/>
        <w:topLinePunct w:val="0"/>
        <w:autoSpaceDE/>
        <w:autoSpaceDN/>
        <w:bidi w:val="0"/>
        <w:spacing w:line="560" w:lineRule="exact"/>
        <w:ind w:firstLine="640" w:firstLineChars="200"/>
        <w:textAlignment w:val="auto"/>
        <w:rPr>
          <w:rFonts w:hint="eastAsia" w:ascii="方正仿宋_GB2312" w:hAnsi="方正仿宋_GB2312" w:eastAsia="方正仿宋_GB2312" w:cs="方正仿宋_GB2312"/>
          <w:sz w:val="32"/>
          <w:szCs w:val="32"/>
          <w:highlight w:val="none"/>
          <w:lang w:val="en-US" w:eastAsia="zh-CN"/>
        </w:rPr>
      </w:pPr>
      <w:r>
        <w:rPr>
          <w:rFonts w:hint="eastAsia" w:ascii="方正仿宋_GB2312" w:hAnsi="方正仿宋_GB2312" w:eastAsia="方正仿宋_GB2312" w:cs="方正仿宋_GB2312"/>
          <w:sz w:val="32"/>
          <w:szCs w:val="32"/>
          <w:highlight w:val="none"/>
          <w:lang w:val="en-US" w:eastAsia="zh-CN"/>
        </w:rPr>
        <w:t>2.实施主体</w:t>
      </w:r>
    </w:p>
    <w:p>
      <w:pPr>
        <w:pStyle w:val="4"/>
        <w:keepNext w:val="0"/>
        <w:keepLines w:val="0"/>
        <w:pageBreakBefore w:val="0"/>
        <w:kinsoku/>
        <w:wordWrap/>
        <w:overflowPunct/>
        <w:topLinePunct w:val="0"/>
        <w:autoSpaceDE/>
        <w:autoSpaceDN/>
        <w:bidi w:val="0"/>
        <w:spacing w:line="560" w:lineRule="exact"/>
        <w:ind w:firstLine="640" w:firstLineChars="200"/>
        <w:textAlignment w:val="auto"/>
        <w:rPr>
          <w:rFonts w:hint="eastAsia" w:ascii="方正仿宋_GB2312" w:hAnsi="方正仿宋_GB2312" w:eastAsia="方正仿宋_GB2312" w:cs="方正仿宋_GB2312"/>
          <w:sz w:val="32"/>
          <w:szCs w:val="32"/>
          <w:highlight w:val="none"/>
          <w:lang w:eastAsia="zh-CN"/>
        </w:rPr>
      </w:pPr>
      <w:r>
        <w:rPr>
          <w:rFonts w:hint="eastAsia" w:ascii="方正仿宋_GB2312" w:hAnsi="方正仿宋_GB2312" w:eastAsia="方正仿宋_GB2312" w:cs="方正仿宋_GB2312"/>
          <w:sz w:val="32"/>
          <w:szCs w:val="32"/>
          <w:highlight w:val="none"/>
        </w:rPr>
        <w:t>该项目的实施主体为自治区医保局，于2018年11月29日正式挂牌成立，是自治区人民政府直属机构，正厅级。内设机构6个处室，另设机关党委（人事处）</w:t>
      </w:r>
      <w:r>
        <w:rPr>
          <w:rFonts w:hint="eastAsia" w:ascii="方正仿宋_GB2312" w:hAnsi="方正仿宋_GB2312" w:eastAsia="方正仿宋_GB2312" w:cs="方正仿宋_GB2312"/>
          <w:sz w:val="32"/>
          <w:szCs w:val="32"/>
          <w:highlight w:val="none"/>
          <w:lang w:eastAsia="zh-CN"/>
        </w:rPr>
        <w:t>。</w:t>
      </w:r>
    </w:p>
    <w:p>
      <w:pPr>
        <w:pStyle w:val="4"/>
        <w:keepNext w:val="0"/>
        <w:keepLines w:val="0"/>
        <w:pageBreakBefore w:val="0"/>
        <w:kinsoku/>
        <w:wordWrap/>
        <w:overflowPunct/>
        <w:topLinePunct w:val="0"/>
        <w:autoSpaceDE/>
        <w:autoSpaceDN/>
        <w:bidi w:val="0"/>
        <w:spacing w:line="560" w:lineRule="exact"/>
        <w:ind w:firstLine="640" w:firstLineChars="200"/>
        <w:textAlignment w:val="auto"/>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主要职能为：（1）贯彻实施国家医疗保险、生育保险、医疗救助等医疗保障制度，拟订医疗保障制度的法规规章草案、政策、规划和标准并组织实施；拟订人身意外伤害保险、大额医疗补助、公务员医疗补助、企事业单位补充医疗保险、离休人员和优抚对象医疗保障等政策、管理办法并组织实施；拟订并组织实施自治区本级医疗保险、生育保险等政策。（2）组织制定并实施医疗保障基金监督管理办法，建立健全医疗保障基金安全防控机制，承担推进医疗保障基金支付方式改革工作，编制自治区医疗保障基金预决算草案。（3）组织拟订医疗保障筹资和待遇政策，完善动态调整和区域调剂平衡机制，统筹城乡医疗保障待遇标准，建立健全与筹资水平相适应的待遇调整机制。拟订贯彻长期护理保险制度改革的方案并组织实施。（4）组织拟订药品、医用耗材价格和医疗服务项目、医疗服务设施收费等政策并监督实施，拟订药品、医用耗材的招标采购政策并监督实施，建立医保支付医药服务价格合理确定和动态调整机制，建立市场主导的社会医药服务价格形成机制，建立医药服务价格信息监测和信息发布制度，指导药品、医用耗材招标采购平台建设。（5）组织制定药品、医用耗材、医疗服务项目、医疗服务设施等医保目录和支付标准，建立动态调整机制。（6）制定定点医药机构协议和支付管理办法并组织实施，建立健全医疗保障信用评价体系和信息披露制度，监督管理纳入医保范围内的医疗服务行为和医疗费用，依法查处医疗保障、生育保险领域违法违规行为。（7）负责医疗保障经办管理、公共服务体系和信息化建设。贯彻落实国家跨省异地就医管理和费用结算政策，组织制定疆内异地就医和费用结算政策。建立健全医疗保障关系转移接续制度。指导医疗保障经办机构开展业务工作。（8）完成自治区党委、自治区人民政府交办的其他任务。（9）职能转变。自治区医疗保障局应完善统一的城乡居民基本医疗保险制度和大病保险制度，建立健全覆盖全民、城乡统筹的多层次医疗保障体系，不断提高医疗保障水平，确保医保资金合理使用、安全可控，推进医疗、医保、医药“三医联动”改革，更好保障人民群众就医需求、减轻医药费用负担。（10）与自治区卫生健康委员会的有关职责分工。自治区卫生健康委员会、自治区医疗保障局等部门在医疗、医保、医药等方面加强制度、政策衔接，建立沟通协商机制，协同推进改革，提高医疗资源使用效率和医疗保障水平。</w:t>
      </w:r>
    </w:p>
    <w:p>
      <w:pPr>
        <w:pStyle w:val="10"/>
        <w:keepNext w:val="0"/>
        <w:keepLines w:val="0"/>
        <w:pageBreakBefore w:val="0"/>
        <w:widowControl/>
        <w:suppressLineNumbers w:val="0"/>
        <w:kinsoku/>
        <w:wordWrap/>
        <w:overflowPunct/>
        <w:topLinePunct w:val="0"/>
        <w:autoSpaceDE/>
        <w:autoSpaceDN/>
        <w:bidi w:val="0"/>
        <w:spacing w:before="0" w:beforeAutospacing="0" w:after="0" w:afterAutospacing="0" w:line="560" w:lineRule="exact"/>
        <w:ind w:left="0" w:right="0" w:firstLine="640" w:firstLineChars="200"/>
        <w:textAlignment w:val="auto"/>
        <w:rPr>
          <w:rFonts w:hint="eastAsia" w:ascii="方正仿宋_GB2312" w:hAnsi="方正仿宋_GB2312" w:eastAsia="方正仿宋_GB2312" w:cs="方正仿宋_GB2312"/>
          <w:bCs/>
          <w:kern w:val="2"/>
          <w:sz w:val="32"/>
          <w:szCs w:val="32"/>
          <w:highlight w:val="none"/>
          <w:lang w:val="en-US" w:eastAsia="zh-CN" w:bidi="ar-SA"/>
        </w:rPr>
      </w:pPr>
      <w:r>
        <w:rPr>
          <w:rFonts w:hint="eastAsia" w:ascii="方正仿宋_GB2312" w:hAnsi="方正仿宋_GB2312" w:eastAsia="方正仿宋_GB2312" w:cs="方正仿宋_GB2312"/>
          <w:bCs/>
          <w:kern w:val="2"/>
          <w:sz w:val="32"/>
          <w:szCs w:val="32"/>
          <w:highlight w:val="none"/>
          <w:lang w:val="en-US" w:eastAsia="zh-CN" w:bidi="ar-SA"/>
        </w:rPr>
        <w:t>3.主要内容及实施情况</w:t>
      </w:r>
    </w:p>
    <w:p>
      <w:pPr>
        <w:pStyle w:val="4"/>
        <w:keepNext w:val="0"/>
        <w:keepLines w:val="0"/>
        <w:pageBreakBefore w:val="0"/>
        <w:kinsoku/>
        <w:wordWrap/>
        <w:overflowPunct/>
        <w:topLinePunct w:val="0"/>
        <w:autoSpaceDE/>
        <w:autoSpaceDN/>
        <w:bidi w:val="0"/>
        <w:spacing w:line="560" w:lineRule="exact"/>
        <w:ind w:firstLine="640" w:firstLineChars="200"/>
        <w:textAlignment w:val="auto"/>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202</w:t>
      </w:r>
      <w:r>
        <w:rPr>
          <w:rFonts w:hint="eastAsia" w:ascii="方正仿宋_GB2312" w:hAnsi="方正仿宋_GB2312" w:eastAsia="方正仿宋_GB2312" w:cs="方正仿宋_GB2312"/>
          <w:sz w:val="32"/>
          <w:szCs w:val="32"/>
          <w:highlight w:val="none"/>
          <w:lang w:val="en-US" w:eastAsia="zh-CN"/>
        </w:rPr>
        <w:t>2</w:t>
      </w:r>
      <w:r>
        <w:rPr>
          <w:rFonts w:hint="eastAsia" w:ascii="方正仿宋_GB2312" w:hAnsi="方正仿宋_GB2312" w:eastAsia="方正仿宋_GB2312" w:cs="方正仿宋_GB2312"/>
          <w:sz w:val="32"/>
          <w:szCs w:val="32"/>
          <w:highlight w:val="none"/>
        </w:rPr>
        <w:t>年城乡居民医保补助资金项目主要内容为：</w:t>
      </w:r>
      <w:bookmarkStart w:id="0" w:name="_Hlk85903081"/>
      <w:r>
        <w:rPr>
          <w:rFonts w:hint="eastAsia" w:ascii="方正仿宋_GB2312" w:hAnsi="方正仿宋_GB2312" w:eastAsia="方正仿宋_GB2312" w:cs="方正仿宋_GB2312"/>
          <w:sz w:val="32"/>
          <w:szCs w:val="32"/>
          <w:highlight w:val="none"/>
        </w:rPr>
        <w:t>（1）</w:t>
      </w:r>
      <w:r>
        <w:rPr>
          <w:rFonts w:hint="eastAsia" w:ascii="方正仿宋_GB2312" w:hAnsi="方正仿宋_GB2312" w:eastAsia="方正仿宋_GB2312" w:cs="方正仿宋_GB2312"/>
          <w:sz w:val="32"/>
          <w:szCs w:val="32"/>
          <w:highlight w:val="none"/>
          <w:lang w:val="en-US" w:eastAsia="zh-CN"/>
        </w:rPr>
        <w:t>巩固参保率；</w:t>
      </w:r>
      <w:r>
        <w:rPr>
          <w:rFonts w:hint="eastAsia" w:ascii="方正仿宋_GB2312" w:hAnsi="方正仿宋_GB2312" w:eastAsia="方正仿宋_GB2312" w:cs="方正仿宋_GB2312"/>
          <w:sz w:val="32"/>
          <w:szCs w:val="32"/>
          <w:highlight w:val="none"/>
        </w:rPr>
        <w:t>（2）</w:t>
      </w:r>
      <w:r>
        <w:rPr>
          <w:rFonts w:hint="eastAsia" w:ascii="方正仿宋_GB2312" w:hAnsi="方正仿宋_GB2312" w:eastAsia="方正仿宋_GB2312" w:cs="方正仿宋_GB2312"/>
          <w:sz w:val="32"/>
          <w:szCs w:val="32"/>
          <w:highlight w:val="none"/>
          <w:lang w:val="en-US" w:eastAsia="zh-CN"/>
        </w:rPr>
        <w:t>稳步提高保障水平；</w:t>
      </w:r>
      <w:r>
        <w:rPr>
          <w:rFonts w:hint="eastAsia" w:ascii="方正仿宋_GB2312" w:hAnsi="方正仿宋_GB2312" w:eastAsia="方正仿宋_GB2312" w:cs="方正仿宋_GB2312"/>
          <w:sz w:val="32"/>
          <w:szCs w:val="32"/>
          <w:highlight w:val="none"/>
        </w:rPr>
        <w:t>（3）</w:t>
      </w:r>
      <w:r>
        <w:rPr>
          <w:rFonts w:hint="eastAsia" w:ascii="方正仿宋_GB2312" w:hAnsi="方正仿宋_GB2312" w:eastAsia="方正仿宋_GB2312" w:cs="方正仿宋_GB2312"/>
          <w:sz w:val="32"/>
          <w:szCs w:val="32"/>
          <w:highlight w:val="none"/>
          <w:lang w:val="en-US" w:eastAsia="zh-CN"/>
        </w:rPr>
        <w:t>实现基金收支</w:t>
      </w:r>
      <w:r>
        <w:rPr>
          <w:rFonts w:hint="eastAsia" w:ascii="方正仿宋_GB2312" w:hAnsi="方正仿宋_GB2312" w:eastAsia="方正仿宋_GB2312" w:cs="方正仿宋_GB2312"/>
          <w:sz w:val="32"/>
          <w:szCs w:val="32"/>
          <w:highlight w:val="none"/>
        </w:rPr>
        <w:t>。</w:t>
      </w:r>
      <w:bookmarkEnd w:id="0"/>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实施情况：</w:t>
      </w:r>
      <w:r>
        <w:rPr>
          <w:rFonts w:hint="eastAsia" w:ascii="方正仿宋_GB2312" w:hAnsi="方正仿宋_GB2312" w:eastAsia="方正仿宋_GB2312" w:cs="方正仿宋_GB2312"/>
          <w:sz w:val="32"/>
          <w:szCs w:val="32"/>
          <w:highlight w:val="none"/>
          <w:lang w:val="en-US" w:eastAsia="zh-CN"/>
        </w:rPr>
        <w:t>2021年12月</w:t>
      </w:r>
      <w:r>
        <w:rPr>
          <w:rFonts w:hint="eastAsia" w:ascii="方正仿宋_GB2312" w:hAnsi="方正仿宋_GB2312" w:eastAsia="方正仿宋_GB2312" w:cs="方正仿宋_GB2312"/>
          <w:sz w:val="32"/>
          <w:szCs w:val="32"/>
          <w:highlight w:val="none"/>
        </w:rPr>
        <w:t>自治区财政厅、自治区医保局根据</w:t>
      </w:r>
      <w:r>
        <w:rPr>
          <w:rFonts w:hint="eastAsia" w:ascii="方正仿宋_GB2312" w:hAnsi="方正仿宋_GB2312" w:eastAsia="方正仿宋_GB2312" w:cs="方正仿宋_GB2312"/>
          <w:sz w:val="32"/>
          <w:szCs w:val="32"/>
          <w:highlight w:val="none"/>
          <w:lang w:val="en-US" w:eastAsia="zh-CN"/>
        </w:rPr>
        <w:t>《关于提前下达2022年城乡居民基本医疗保险中央财政补助资金预算的通知》（新财社〔2021〕267号）、《关于提前下达2022年自治区财政城乡居民基本医疗保险补助资金预算的通知》（新财社〔2021〕261号）</w:t>
      </w:r>
      <w:r>
        <w:rPr>
          <w:rFonts w:hint="eastAsia" w:ascii="方正仿宋_GB2312" w:hAnsi="方正仿宋_GB2312" w:eastAsia="方正仿宋_GB2312" w:cs="方正仿宋_GB2312"/>
          <w:sz w:val="32"/>
          <w:szCs w:val="32"/>
          <w:highlight w:val="none"/>
        </w:rPr>
        <w:t>下拨了城乡居民医保补助资金中央补助资金及自治区配套资金，其中自治区配套资金为</w:t>
      </w:r>
      <w:r>
        <w:rPr>
          <w:rFonts w:hint="eastAsia" w:ascii="方正仿宋_GB2312" w:hAnsi="方正仿宋_GB2312" w:eastAsia="方正仿宋_GB2312" w:cs="方正仿宋_GB2312"/>
          <w:sz w:val="32"/>
          <w:szCs w:val="32"/>
          <w:highlight w:val="none"/>
          <w:lang w:val="en-US" w:eastAsia="zh-CN"/>
        </w:rPr>
        <w:t>168382</w:t>
      </w:r>
      <w:r>
        <w:rPr>
          <w:rFonts w:hint="eastAsia" w:ascii="方正仿宋_GB2312" w:hAnsi="方正仿宋_GB2312" w:eastAsia="方正仿宋_GB2312" w:cs="方正仿宋_GB2312"/>
          <w:sz w:val="32"/>
          <w:szCs w:val="32"/>
          <w:highlight w:val="none"/>
        </w:rPr>
        <w:t>万元，</w:t>
      </w:r>
      <w:r>
        <w:rPr>
          <w:rFonts w:hint="eastAsia" w:ascii="方正仿宋_GB2312" w:hAnsi="方正仿宋_GB2312" w:eastAsia="方正仿宋_GB2312" w:cs="方正仿宋_GB2312"/>
          <w:sz w:val="32"/>
          <w:szCs w:val="32"/>
          <w:highlight w:val="none"/>
          <w:lang w:val="en-US" w:eastAsia="zh-CN"/>
        </w:rPr>
        <w:t>2022年6月</w:t>
      </w:r>
      <w:r>
        <w:rPr>
          <w:rFonts w:hint="eastAsia" w:ascii="方正仿宋_GB2312" w:hAnsi="方正仿宋_GB2312" w:eastAsia="方正仿宋_GB2312" w:cs="方正仿宋_GB2312"/>
          <w:sz w:val="32"/>
          <w:szCs w:val="32"/>
          <w:highlight w:val="none"/>
        </w:rPr>
        <w:t>、</w:t>
      </w:r>
      <w:r>
        <w:rPr>
          <w:rFonts w:hint="eastAsia" w:ascii="方正仿宋_GB2312" w:hAnsi="方正仿宋_GB2312" w:eastAsia="方正仿宋_GB2312" w:cs="方正仿宋_GB2312"/>
          <w:sz w:val="32"/>
          <w:szCs w:val="32"/>
          <w:highlight w:val="none"/>
          <w:lang w:val="en-US" w:eastAsia="zh-CN"/>
        </w:rPr>
        <w:t>12月</w:t>
      </w:r>
      <w:r>
        <w:rPr>
          <w:rFonts w:hint="eastAsia" w:ascii="方正仿宋_GB2312" w:hAnsi="方正仿宋_GB2312" w:eastAsia="方正仿宋_GB2312" w:cs="方正仿宋_GB2312"/>
          <w:sz w:val="32"/>
          <w:szCs w:val="32"/>
          <w:highlight w:val="none"/>
        </w:rPr>
        <w:t>自治区财政厅根据</w:t>
      </w:r>
      <w:r>
        <w:rPr>
          <w:rFonts w:hint="eastAsia" w:ascii="方正仿宋_GB2312" w:hAnsi="方正仿宋_GB2312" w:eastAsia="方正仿宋_GB2312" w:cs="方正仿宋_GB2312"/>
          <w:sz w:val="32"/>
          <w:szCs w:val="32"/>
          <w:highlight w:val="none"/>
          <w:lang w:val="en-US" w:eastAsia="zh-CN"/>
        </w:rPr>
        <w:t>《关于拨付2022年中央财政城乡居民基本医疗保险补助资金（第二批）预算的通知》（新财社〔2022〕98号）《关于拨付2022年中央财政城乡居民基本医疗保险补助资金（第三批）的通知》（新财社〔2022〕218号）</w:t>
      </w:r>
      <w:r>
        <w:rPr>
          <w:rFonts w:hint="eastAsia" w:ascii="方正仿宋_GB2312" w:hAnsi="方正仿宋_GB2312" w:eastAsia="方正仿宋_GB2312" w:cs="方正仿宋_GB2312"/>
          <w:sz w:val="32"/>
          <w:szCs w:val="32"/>
          <w:highlight w:val="none"/>
        </w:rPr>
        <w:t>下拨了城乡居民医保补助资金中央补助资金，并同步向各地州分解下达了202</w:t>
      </w:r>
      <w:r>
        <w:rPr>
          <w:rFonts w:hint="eastAsia" w:ascii="方正仿宋_GB2312" w:hAnsi="方正仿宋_GB2312" w:eastAsia="方正仿宋_GB2312" w:cs="方正仿宋_GB2312"/>
          <w:sz w:val="32"/>
          <w:szCs w:val="32"/>
          <w:highlight w:val="none"/>
          <w:lang w:val="en-US" w:eastAsia="zh-CN"/>
        </w:rPr>
        <w:t>2</w:t>
      </w:r>
      <w:r>
        <w:rPr>
          <w:rFonts w:hint="eastAsia" w:ascii="方正仿宋_GB2312" w:hAnsi="方正仿宋_GB2312" w:eastAsia="方正仿宋_GB2312" w:cs="方正仿宋_GB2312"/>
          <w:sz w:val="32"/>
          <w:szCs w:val="32"/>
          <w:highlight w:val="none"/>
        </w:rPr>
        <w:t>年城乡居民医保补助资金项目绩效目标表。202</w:t>
      </w:r>
      <w:r>
        <w:rPr>
          <w:rFonts w:hint="eastAsia" w:ascii="方正仿宋_GB2312" w:hAnsi="方正仿宋_GB2312" w:eastAsia="方正仿宋_GB2312" w:cs="方正仿宋_GB2312"/>
          <w:sz w:val="32"/>
          <w:szCs w:val="32"/>
          <w:highlight w:val="none"/>
          <w:lang w:val="en-US" w:eastAsia="zh-CN"/>
        </w:rPr>
        <w:t>2</w:t>
      </w:r>
      <w:r>
        <w:rPr>
          <w:rFonts w:hint="eastAsia" w:ascii="方正仿宋_GB2312" w:hAnsi="方正仿宋_GB2312" w:eastAsia="方正仿宋_GB2312" w:cs="方正仿宋_GB2312"/>
          <w:sz w:val="32"/>
          <w:szCs w:val="32"/>
          <w:highlight w:val="none"/>
        </w:rPr>
        <w:t>年</w:t>
      </w:r>
      <w:r>
        <w:rPr>
          <w:rFonts w:hint="eastAsia" w:ascii="方正仿宋_GB2312" w:hAnsi="方正仿宋_GB2312" w:eastAsia="方正仿宋_GB2312" w:cs="方正仿宋_GB2312"/>
          <w:sz w:val="32"/>
          <w:szCs w:val="32"/>
          <w:highlight w:val="none"/>
          <w:lang w:val="en-US" w:eastAsia="zh-CN"/>
        </w:rPr>
        <w:t>7</w:t>
      </w:r>
      <w:r>
        <w:rPr>
          <w:rFonts w:hint="eastAsia" w:ascii="方正仿宋_GB2312" w:hAnsi="方正仿宋_GB2312" w:eastAsia="方正仿宋_GB2312" w:cs="方正仿宋_GB2312"/>
          <w:sz w:val="32"/>
          <w:szCs w:val="32"/>
          <w:highlight w:val="none"/>
        </w:rPr>
        <w:t>月</w:t>
      </w:r>
      <w:r>
        <w:rPr>
          <w:rFonts w:hint="eastAsia" w:ascii="方正仿宋_GB2312" w:hAnsi="方正仿宋_GB2312" w:eastAsia="方正仿宋_GB2312" w:cs="方正仿宋_GB2312"/>
          <w:sz w:val="32"/>
          <w:szCs w:val="32"/>
          <w:highlight w:val="none"/>
          <w:lang w:val="en-US" w:eastAsia="zh-CN"/>
        </w:rPr>
        <w:t>29</w:t>
      </w:r>
      <w:r>
        <w:rPr>
          <w:rFonts w:hint="eastAsia" w:ascii="方正仿宋_GB2312" w:hAnsi="方正仿宋_GB2312" w:eastAsia="方正仿宋_GB2312" w:cs="方正仿宋_GB2312"/>
          <w:sz w:val="32"/>
          <w:szCs w:val="32"/>
          <w:highlight w:val="none"/>
        </w:rPr>
        <w:t>日自治区医保局、自治区财政厅、国家税务总局新疆税务局联合发布了《关于做好20</w:t>
      </w:r>
      <w:r>
        <w:rPr>
          <w:rFonts w:hint="eastAsia" w:ascii="方正仿宋_GB2312" w:hAnsi="方正仿宋_GB2312" w:eastAsia="方正仿宋_GB2312" w:cs="方正仿宋_GB2312"/>
          <w:sz w:val="32"/>
          <w:szCs w:val="32"/>
          <w:highlight w:val="none"/>
          <w:lang w:val="en-US" w:eastAsia="zh-CN"/>
        </w:rPr>
        <w:t>22</w:t>
      </w:r>
      <w:r>
        <w:rPr>
          <w:rFonts w:hint="eastAsia" w:ascii="方正仿宋_GB2312" w:hAnsi="方正仿宋_GB2312" w:eastAsia="方正仿宋_GB2312" w:cs="方正仿宋_GB2312"/>
          <w:sz w:val="32"/>
          <w:szCs w:val="32"/>
          <w:highlight w:val="none"/>
        </w:rPr>
        <w:t>年我区城乡居民基本医疗保障工作的通知》（新医保</w:t>
      </w:r>
      <w:r>
        <w:rPr>
          <w:rFonts w:hint="eastAsia" w:ascii="方正仿宋_GB2312" w:hAnsi="方正仿宋_GB2312" w:eastAsia="方正仿宋_GB2312" w:cs="方正仿宋_GB2312"/>
          <w:sz w:val="32"/>
          <w:szCs w:val="32"/>
          <w:highlight w:val="none"/>
          <w:lang w:val="en-US" w:eastAsia="zh-CN"/>
        </w:rPr>
        <w:t>〔2022〕32</w:t>
      </w:r>
      <w:r>
        <w:rPr>
          <w:rFonts w:hint="eastAsia" w:ascii="方正仿宋_GB2312" w:hAnsi="方正仿宋_GB2312" w:eastAsia="方正仿宋_GB2312" w:cs="方正仿宋_GB2312"/>
          <w:sz w:val="32"/>
          <w:szCs w:val="32"/>
          <w:highlight w:val="none"/>
        </w:rPr>
        <w:t>号），指导</w:t>
      </w:r>
      <w:r>
        <w:rPr>
          <w:rFonts w:hint="eastAsia" w:ascii="方正仿宋_GB2312" w:hAnsi="方正仿宋_GB2312" w:eastAsia="方正仿宋_GB2312" w:cs="方正仿宋_GB2312"/>
          <w:sz w:val="32"/>
          <w:szCs w:val="32"/>
          <w:highlight w:val="none"/>
          <w:lang w:val="en-US" w:eastAsia="zh-CN"/>
        </w:rPr>
        <w:t>全区</w:t>
      </w:r>
      <w:r>
        <w:rPr>
          <w:rFonts w:hint="eastAsia" w:ascii="方正仿宋_GB2312" w:hAnsi="方正仿宋_GB2312" w:eastAsia="方正仿宋_GB2312" w:cs="方正仿宋_GB2312"/>
          <w:sz w:val="32"/>
          <w:szCs w:val="32"/>
          <w:highlight w:val="none"/>
        </w:rPr>
        <w:t>城乡居民基本医疗保障工作。20</w:t>
      </w:r>
      <w:r>
        <w:rPr>
          <w:rFonts w:hint="eastAsia" w:ascii="方正仿宋_GB2312" w:hAnsi="方正仿宋_GB2312" w:eastAsia="方正仿宋_GB2312" w:cs="方正仿宋_GB2312"/>
          <w:sz w:val="32"/>
          <w:szCs w:val="32"/>
          <w:highlight w:val="none"/>
          <w:lang w:val="en-US" w:eastAsia="zh-CN"/>
        </w:rPr>
        <w:t>22</w:t>
      </w:r>
      <w:r>
        <w:rPr>
          <w:rFonts w:hint="eastAsia" w:ascii="方正仿宋_GB2312" w:hAnsi="方正仿宋_GB2312" w:eastAsia="方正仿宋_GB2312" w:cs="方正仿宋_GB2312"/>
          <w:sz w:val="32"/>
          <w:szCs w:val="32"/>
          <w:highlight w:val="none"/>
        </w:rPr>
        <w:t>年自治区城乡居民医疗保险人均财政补助标准新增30元，达每人每年不低于</w:t>
      </w:r>
      <w:r>
        <w:rPr>
          <w:rFonts w:hint="eastAsia" w:ascii="方正仿宋_GB2312" w:hAnsi="方正仿宋_GB2312" w:eastAsia="方正仿宋_GB2312" w:cs="方正仿宋_GB2312"/>
          <w:sz w:val="32"/>
          <w:szCs w:val="32"/>
          <w:highlight w:val="none"/>
          <w:lang w:val="en-US" w:eastAsia="zh-CN"/>
        </w:rPr>
        <w:t>610</w:t>
      </w:r>
      <w:r>
        <w:rPr>
          <w:rFonts w:hint="eastAsia" w:ascii="方正仿宋_GB2312" w:hAnsi="方正仿宋_GB2312" w:eastAsia="方正仿宋_GB2312" w:cs="方正仿宋_GB2312"/>
          <w:sz w:val="32"/>
          <w:szCs w:val="32"/>
          <w:highlight w:val="none"/>
        </w:rPr>
        <w:t>元，原则上个人缴费标准同步提高</w:t>
      </w:r>
      <w:r>
        <w:rPr>
          <w:rFonts w:hint="eastAsia" w:ascii="方正仿宋_GB2312" w:hAnsi="方正仿宋_GB2312" w:eastAsia="方正仿宋_GB2312" w:cs="方正仿宋_GB2312"/>
          <w:sz w:val="32"/>
          <w:szCs w:val="32"/>
          <w:highlight w:val="none"/>
          <w:lang w:val="en-US" w:eastAsia="zh-CN"/>
        </w:rPr>
        <w:t>40</w:t>
      </w:r>
      <w:r>
        <w:rPr>
          <w:rFonts w:hint="eastAsia" w:ascii="方正仿宋_GB2312" w:hAnsi="方正仿宋_GB2312" w:eastAsia="方正仿宋_GB2312" w:cs="方正仿宋_GB2312"/>
          <w:sz w:val="32"/>
          <w:szCs w:val="32"/>
          <w:highlight w:val="none"/>
        </w:rPr>
        <w:t>元，达到每人每年不低于</w:t>
      </w:r>
      <w:r>
        <w:rPr>
          <w:rFonts w:hint="eastAsia" w:ascii="方正仿宋_GB2312" w:hAnsi="方正仿宋_GB2312" w:eastAsia="方正仿宋_GB2312" w:cs="方正仿宋_GB2312"/>
          <w:sz w:val="32"/>
          <w:szCs w:val="32"/>
          <w:highlight w:val="none"/>
          <w:lang w:val="en-US" w:eastAsia="zh-CN"/>
        </w:rPr>
        <w:t>360</w:t>
      </w:r>
      <w:r>
        <w:rPr>
          <w:rFonts w:hint="eastAsia" w:ascii="方正仿宋_GB2312" w:hAnsi="方正仿宋_GB2312" w:eastAsia="方正仿宋_GB2312" w:cs="方正仿宋_GB2312"/>
          <w:sz w:val="32"/>
          <w:szCs w:val="32"/>
          <w:highlight w:val="none"/>
        </w:rPr>
        <w:t>元</w:t>
      </w:r>
      <w:r>
        <w:rPr>
          <w:rFonts w:hint="eastAsia" w:ascii="方正仿宋_GB2312" w:hAnsi="方正仿宋_GB2312" w:eastAsia="方正仿宋_GB2312" w:cs="方正仿宋_GB2312"/>
          <w:sz w:val="32"/>
          <w:szCs w:val="32"/>
          <w:highlight w:val="none"/>
          <w:lang w:eastAsia="zh-CN"/>
        </w:rPr>
        <w:t>。</w:t>
      </w:r>
      <w:r>
        <w:rPr>
          <w:rFonts w:hint="eastAsia" w:ascii="方正仿宋_GB2312" w:hAnsi="方正仿宋_GB2312" w:eastAsia="方正仿宋_GB2312" w:cs="方正仿宋_GB2312"/>
          <w:sz w:val="32"/>
          <w:szCs w:val="32"/>
          <w:highlight w:val="none"/>
        </w:rPr>
        <w:t>自治区医保局</w:t>
      </w:r>
      <w:r>
        <w:rPr>
          <w:rFonts w:hint="eastAsia" w:ascii="方正仿宋_GB2312" w:hAnsi="方正仿宋_GB2312" w:eastAsia="方正仿宋_GB2312" w:cs="方正仿宋_GB2312"/>
          <w:sz w:val="32"/>
          <w:szCs w:val="32"/>
          <w:highlight w:val="none"/>
          <w:lang w:val="en-US" w:eastAsia="zh-CN"/>
        </w:rPr>
        <w:t>会</w:t>
      </w:r>
      <w:r>
        <w:rPr>
          <w:rFonts w:hint="eastAsia" w:ascii="方正仿宋_GB2312" w:hAnsi="方正仿宋_GB2312" w:eastAsia="方正仿宋_GB2312" w:cs="方正仿宋_GB2312"/>
          <w:sz w:val="32"/>
          <w:szCs w:val="32"/>
          <w:highlight w:val="none"/>
        </w:rPr>
        <w:t>同财政部门共同制定省、市、县三级财政分担办法，并在规定时间内将预算</w:t>
      </w:r>
      <w:r>
        <w:rPr>
          <w:rFonts w:hint="eastAsia" w:ascii="方正仿宋_GB2312" w:hAnsi="方正仿宋_GB2312" w:eastAsia="方正仿宋_GB2312" w:cs="方正仿宋_GB2312"/>
          <w:sz w:val="32"/>
          <w:szCs w:val="32"/>
          <w:highlight w:val="none"/>
          <w:lang w:val="en-US" w:eastAsia="zh-CN"/>
        </w:rPr>
        <w:t>指标</w:t>
      </w:r>
      <w:r>
        <w:rPr>
          <w:rFonts w:hint="eastAsia" w:ascii="方正仿宋_GB2312" w:hAnsi="方正仿宋_GB2312" w:eastAsia="方正仿宋_GB2312" w:cs="方正仿宋_GB2312"/>
          <w:sz w:val="32"/>
          <w:szCs w:val="32"/>
          <w:highlight w:val="none"/>
        </w:rPr>
        <w:t>下达至统筹地区财政部门。</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lang w:val="en-US" w:eastAsia="zh-CN"/>
        </w:rPr>
        <w:t>4.</w:t>
      </w:r>
      <w:r>
        <w:rPr>
          <w:rFonts w:hint="eastAsia" w:ascii="方正仿宋_GB2312" w:hAnsi="方正仿宋_GB2312" w:eastAsia="方正仿宋_GB2312" w:cs="方正仿宋_GB2312"/>
          <w:sz w:val="32"/>
          <w:szCs w:val="32"/>
          <w:highlight w:val="none"/>
        </w:rPr>
        <w:t>资金投入和使用情况等</w:t>
      </w:r>
    </w:p>
    <w:p>
      <w:pPr>
        <w:pStyle w:val="4"/>
        <w:keepNext w:val="0"/>
        <w:keepLines w:val="0"/>
        <w:pageBreakBefore w:val="0"/>
        <w:kinsoku/>
        <w:wordWrap/>
        <w:overflowPunct/>
        <w:topLinePunct w:val="0"/>
        <w:autoSpaceDE/>
        <w:autoSpaceDN/>
        <w:bidi w:val="0"/>
        <w:spacing w:line="560" w:lineRule="exact"/>
        <w:ind w:firstLine="640" w:firstLineChars="200"/>
        <w:textAlignment w:val="auto"/>
        <w:rPr>
          <w:rFonts w:hint="eastAsia" w:eastAsiaTheme="minorEastAsia"/>
          <w:color w:val="000000" w:themeColor="text1"/>
          <w:sz w:val="30"/>
          <w:szCs w:val="30"/>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32"/>
          <w:szCs w:val="32"/>
          <w:highlight w:val="none"/>
          <w14:textFill>
            <w14:solidFill>
              <w14:schemeClr w14:val="tx1"/>
            </w14:solidFill>
          </w14:textFill>
        </w:rPr>
        <w:t>202</w:t>
      </w:r>
      <w:r>
        <w:rPr>
          <w:rFonts w:hint="eastAsia" w:ascii="方正仿宋_GB2312" w:hAnsi="方正仿宋_GB2312" w:eastAsia="方正仿宋_GB2312" w:cs="方正仿宋_GB2312"/>
          <w:color w:val="000000" w:themeColor="text1"/>
          <w:sz w:val="32"/>
          <w:szCs w:val="32"/>
          <w:highlight w:val="none"/>
          <w:lang w:val="en-US" w:eastAsia="zh-CN"/>
          <w14:textFill>
            <w14:solidFill>
              <w14:schemeClr w14:val="tx1"/>
            </w14:solidFill>
          </w14:textFill>
        </w:rPr>
        <w:t>2</w:t>
      </w:r>
      <w:r>
        <w:rPr>
          <w:rFonts w:hint="eastAsia" w:ascii="方正仿宋_GB2312" w:hAnsi="方正仿宋_GB2312" w:eastAsia="方正仿宋_GB2312" w:cs="方正仿宋_GB2312"/>
          <w:color w:val="000000" w:themeColor="text1"/>
          <w:sz w:val="32"/>
          <w:szCs w:val="32"/>
          <w:highlight w:val="none"/>
          <w14:textFill>
            <w14:solidFill>
              <w14:schemeClr w14:val="tx1"/>
            </w14:solidFill>
          </w14:textFill>
        </w:rPr>
        <w:t>年城乡居民医保</w:t>
      </w:r>
      <w:r>
        <w:rPr>
          <w:rFonts w:hint="eastAsia" w:ascii="方正仿宋_GB2312" w:hAnsi="方正仿宋_GB2312" w:eastAsia="方正仿宋_GB2312" w:cs="方正仿宋_GB2312"/>
          <w:color w:val="000000" w:themeColor="text1"/>
          <w:sz w:val="32"/>
          <w:szCs w:val="32"/>
          <w:highlight w:val="none"/>
          <w:lang w:val="en-US" w:eastAsia="zh-CN"/>
          <w14:textFill>
            <w14:solidFill>
              <w14:schemeClr w14:val="tx1"/>
            </w14:solidFill>
          </w14:textFill>
        </w:rPr>
        <w:t>中央</w:t>
      </w:r>
      <w:r>
        <w:rPr>
          <w:rFonts w:hint="eastAsia" w:ascii="方正仿宋_GB2312" w:hAnsi="方正仿宋_GB2312" w:eastAsia="方正仿宋_GB2312" w:cs="方正仿宋_GB2312"/>
          <w:color w:val="000000" w:themeColor="text1"/>
          <w:sz w:val="32"/>
          <w:szCs w:val="32"/>
          <w:highlight w:val="none"/>
          <w14:textFill>
            <w14:solidFill>
              <w14:schemeClr w14:val="tx1"/>
            </w14:solidFill>
          </w14:textFill>
        </w:rPr>
        <w:t>补助资金预算数为</w:t>
      </w:r>
      <w:r>
        <w:rPr>
          <w:rFonts w:hint="eastAsia" w:ascii="方正仿宋_GB2312" w:hAnsi="方正仿宋_GB2312" w:eastAsia="方正仿宋_GB2312" w:cs="方正仿宋_GB2312"/>
          <w:color w:val="000000" w:themeColor="text1"/>
          <w:sz w:val="32"/>
          <w:szCs w:val="32"/>
          <w:highlight w:val="none"/>
          <w:lang w:val="en-US" w:eastAsia="zh-CN"/>
          <w14:textFill>
            <w14:solidFill>
              <w14:schemeClr w14:val="tx1"/>
            </w14:solidFill>
          </w14:textFill>
        </w:rPr>
        <w:t>739522</w:t>
      </w:r>
      <w:r>
        <w:rPr>
          <w:rFonts w:hint="eastAsia" w:ascii="方正仿宋_GB2312" w:hAnsi="方正仿宋_GB2312" w:eastAsia="方正仿宋_GB2312" w:cs="方正仿宋_GB2312"/>
          <w:color w:val="000000" w:themeColor="text1"/>
          <w:sz w:val="32"/>
          <w:szCs w:val="32"/>
          <w:highlight w:val="none"/>
          <w14:textFill>
            <w14:solidFill>
              <w14:schemeClr w14:val="tx1"/>
            </w14:solidFill>
          </w14:textFill>
        </w:rPr>
        <w:t>万元，实际到位数为</w:t>
      </w:r>
      <w:r>
        <w:rPr>
          <w:rFonts w:hint="eastAsia" w:ascii="方正仿宋_GB2312" w:hAnsi="方正仿宋_GB2312" w:eastAsia="方正仿宋_GB2312" w:cs="方正仿宋_GB2312"/>
          <w:color w:val="000000" w:themeColor="text1"/>
          <w:sz w:val="32"/>
          <w:szCs w:val="32"/>
          <w:highlight w:val="none"/>
          <w:lang w:val="en-US" w:eastAsia="zh-CN"/>
          <w14:textFill>
            <w14:solidFill>
              <w14:schemeClr w14:val="tx1"/>
            </w14:solidFill>
          </w14:textFill>
        </w:rPr>
        <w:t>739522</w:t>
      </w:r>
      <w:r>
        <w:rPr>
          <w:rFonts w:hint="eastAsia" w:ascii="方正仿宋_GB2312" w:hAnsi="方正仿宋_GB2312" w:eastAsia="方正仿宋_GB2312" w:cs="方正仿宋_GB2312"/>
          <w:color w:val="000000" w:themeColor="text1"/>
          <w:sz w:val="32"/>
          <w:szCs w:val="32"/>
          <w:highlight w:val="none"/>
          <w14:textFill>
            <w14:solidFill>
              <w14:schemeClr w14:val="tx1"/>
            </w14:solidFill>
          </w14:textFill>
        </w:rPr>
        <w:t>万元，资金实际支出为</w:t>
      </w:r>
      <w:bookmarkStart w:id="1" w:name="_Hlk86052875"/>
      <w:r>
        <w:rPr>
          <w:rFonts w:hint="eastAsia" w:ascii="方正仿宋_GB2312" w:hAnsi="方正仿宋_GB2312" w:eastAsia="方正仿宋_GB2312" w:cs="方正仿宋_GB2312"/>
          <w:color w:val="000000" w:themeColor="text1"/>
          <w:sz w:val="32"/>
          <w:szCs w:val="32"/>
          <w:highlight w:val="none"/>
          <w:lang w:val="en-US" w:eastAsia="zh-CN"/>
          <w14:textFill>
            <w14:solidFill>
              <w14:schemeClr w14:val="tx1"/>
            </w14:solidFill>
          </w14:textFill>
        </w:rPr>
        <w:t>739522</w:t>
      </w:r>
      <w:r>
        <w:rPr>
          <w:rFonts w:hint="eastAsia" w:ascii="方正仿宋_GB2312" w:hAnsi="方正仿宋_GB2312" w:eastAsia="方正仿宋_GB2312" w:cs="方正仿宋_GB2312"/>
          <w:color w:val="000000" w:themeColor="text1"/>
          <w:sz w:val="32"/>
          <w:szCs w:val="32"/>
          <w:highlight w:val="none"/>
          <w14:textFill>
            <w14:solidFill>
              <w14:schemeClr w14:val="tx1"/>
            </w14:solidFill>
          </w14:textFill>
        </w:rPr>
        <w:t>万元</w:t>
      </w:r>
      <w:bookmarkEnd w:id="1"/>
      <w:r>
        <w:rPr>
          <w:rFonts w:hint="eastAsia" w:ascii="方正仿宋_GB2312" w:hAnsi="方正仿宋_GB2312" w:eastAsia="方正仿宋_GB2312" w:cs="方正仿宋_GB2312"/>
          <w:color w:val="000000" w:themeColor="text1"/>
          <w:sz w:val="32"/>
          <w:szCs w:val="32"/>
          <w:highlight w:val="none"/>
          <w:lang w:eastAsia="zh-CN"/>
          <w14:textFill>
            <w14:solidFill>
              <w14:schemeClr w14:val="tx1"/>
            </w14:solidFill>
          </w14:textFill>
        </w:rPr>
        <w:t>；</w:t>
      </w:r>
      <w:r>
        <w:rPr>
          <w:rFonts w:hint="eastAsia" w:ascii="方正仿宋_GB2312" w:hAnsi="方正仿宋_GB2312" w:eastAsia="方正仿宋_GB2312" w:cs="方正仿宋_GB2312"/>
          <w:color w:val="000000" w:themeColor="text1"/>
          <w:sz w:val="32"/>
          <w:szCs w:val="32"/>
          <w:highlight w:val="none"/>
          <w:lang w:val="en-US" w:eastAsia="zh-CN"/>
          <w14:textFill>
            <w14:solidFill>
              <w14:schemeClr w14:val="tx1"/>
            </w14:solidFill>
          </w14:textFill>
        </w:rPr>
        <w:t>自治区财政补助资金预算数168382万元，</w:t>
      </w:r>
      <w:r>
        <w:rPr>
          <w:rFonts w:hint="eastAsia" w:ascii="方正仿宋_GB2312" w:hAnsi="方正仿宋_GB2312" w:eastAsia="方正仿宋_GB2312" w:cs="方正仿宋_GB2312"/>
          <w:color w:val="000000" w:themeColor="text1"/>
          <w:sz w:val="32"/>
          <w:szCs w:val="32"/>
          <w:highlight w:val="none"/>
          <w14:textFill>
            <w14:solidFill>
              <w14:schemeClr w14:val="tx1"/>
            </w14:solidFill>
          </w14:textFill>
        </w:rPr>
        <w:t>实际到位数为</w:t>
      </w:r>
      <w:r>
        <w:rPr>
          <w:rFonts w:hint="eastAsia" w:ascii="方正仿宋_GB2312" w:hAnsi="方正仿宋_GB2312" w:eastAsia="方正仿宋_GB2312" w:cs="方正仿宋_GB2312"/>
          <w:color w:val="000000" w:themeColor="text1"/>
          <w:sz w:val="32"/>
          <w:szCs w:val="32"/>
          <w:highlight w:val="none"/>
          <w:lang w:val="en-US" w:eastAsia="zh-CN"/>
          <w14:textFill>
            <w14:solidFill>
              <w14:schemeClr w14:val="tx1"/>
            </w14:solidFill>
          </w14:textFill>
        </w:rPr>
        <w:t>168382</w:t>
      </w:r>
      <w:r>
        <w:rPr>
          <w:rFonts w:hint="eastAsia" w:ascii="方正仿宋_GB2312" w:hAnsi="方正仿宋_GB2312" w:eastAsia="方正仿宋_GB2312" w:cs="方正仿宋_GB2312"/>
          <w:color w:val="000000" w:themeColor="text1"/>
          <w:sz w:val="32"/>
          <w:szCs w:val="32"/>
          <w:highlight w:val="none"/>
          <w14:textFill>
            <w14:solidFill>
              <w14:schemeClr w14:val="tx1"/>
            </w14:solidFill>
          </w14:textFill>
        </w:rPr>
        <w:t>万元，资金实际支出为</w:t>
      </w:r>
      <w:r>
        <w:rPr>
          <w:rFonts w:hint="eastAsia" w:ascii="方正仿宋_GB2312" w:hAnsi="方正仿宋_GB2312" w:eastAsia="方正仿宋_GB2312" w:cs="方正仿宋_GB2312"/>
          <w:color w:val="000000" w:themeColor="text1"/>
          <w:sz w:val="32"/>
          <w:szCs w:val="32"/>
          <w:highlight w:val="none"/>
          <w:lang w:val="en-US" w:eastAsia="zh-CN"/>
          <w14:textFill>
            <w14:solidFill>
              <w14:schemeClr w14:val="tx1"/>
            </w14:solidFill>
          </w14:textFill>
        </w:rPr>
        <w:t>168382</w:t>
      </w:r>
      <w:r>
        <w:rPr>
          <w:rFonts w:hint="eastAsia" w:ascii="方正仿宋_GB2312" w:hAnsi="方正仿宋_GB2312" w:eastAsia="方正仿宋_GB2312" w:cs="方正仿宋_GB2312"/>
          <w:color w:val="000000" w:themeColor="text1"/>
          <w:sz w:val="32"/>
          <w:szCs w:val="32"/>
          <w:highlight w:val="none"/>
          <w14:textFill>
            <w14:solidFill>
              <w14:schemeClr w14:val="tx1"/>
            </w14:solidFill>
          </w14:textFill>
        </w:rPr>
        <w:t>万元</w:t>
      </w:r>
      <w:r>
        <w:rPr>
          <w:rFonts w:hint="eastAsia" w:ascii="方正仿宋_GB2312" w:hAnsi="方正仿宋_GB2312" w:eastAsia="方正仿宋_GB2312" w:cs="方正仿宋_GB2312"/>
          <w:color w:val="000000" w:themeColor="text1"/>
          <w:sz w:val="32"/>
          <w:szCs w:val="32"/>
          <w:highlight w:val="none"/>
          <w:lang w:eastAsia="zh-CN"/>
          <w14:textFill>
            <w14:solidFill>
              <w14:schemeClr w14:val="tx1"/>
            </w14:solidFill>
          </w14:textFill>
        </w:rPr>
        <w:t>。</w:t>
      </w:r>
      <w:r>
        <w:rPr>
          <w:rFonts w:hint="eastAsia" w:ascii="方正仿宋_GB2312" w:hAnsi="方正仿宋_GB2312" w:eastAsia="方正仿宋_GB2312" w:cs="方正仿宋_GB2312"/>
          <w:color w:val="000000" w:themeColor="text1"/>
          <w:sz w:val="32"/>
          <w:szCs w:val="32"/>
          <w:highlight w:val="none"/>
          <w:lang w:val="en-US" w:eastAsia="zh-CN"/>
          <w14:textFill>
            <w14:solidFill>
              <w14:schemeClr w14:val="tx1"/>
            </w14:solidFill>
          </w14:textFill>
        </w:rPr>
        <w:t>市县财政补助资金81595.55万元，实际到位81595.55万元。</w:t>
      </w:r>
      <w:r>
        <w:rPr>
          <w:rFonts w:hint="eastAsia" w:ascii="方正仿宋_GB2312" w:hAnsi="方正仿宋_GB2312" w:eastAsia="方正仿宋_GB2312" w:cs="方正仿宋_GB2312"/>
          <w:color w:val="000000" w:themeColor="text1"/>
          <w:sz w:val="32"/>
          <w:szCs w:val="32"/>
          <w:highlight w:val="none"/>
          <w14:textFill>
            <w14:solidFill>
              <w14:schemeClr w14:val="tx1"/>
            </w14:solidFill>
          </w14:textFill>
        </w:rPr>
        <w:t>详见下表</w:t>
      </w:r>
      <w:r>
        <w:rPr>
          <w:rFonts w:hint="eastAsia" w:ascii="方正仿宋_GB2312" w:hAnsi="方正仿宋_GB2312" w:eastAsia="方正仿宋_GB2312" w:cs="方正仿宋_GB2312"/>
          <w:color w:val="000000" w:themeColor="text1"/>
          <w:sz w:val="32"/>
          <w:szCs w:val="32"/>
          <w:highlight w:val="none"/>
          <w:lang w:eastAsia="zh-CN"/>
          <w14:textFill>
            <w14:solidFill>
              <w14:schemeClr w14:val="tx1"/>
            </w14:solidFill>
          </w14:textFill>
        </w:rPr>
        <w:t>：</w:t>
      </w:r>
    </w:p>
    <w:tbl>
      <w:tblPr>
        <w:tblStyle w:val="13"/>
        <w:tblW w:w="825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91"/>
        <w:gridCol w:w="943"/>
        <w:gridCol w:w="1119"/>
        <w:gridCol w:w="1119"/>
        <w:gridCol w:w="1119"/>
        <w:gridCol w:w="1119"/>
        <w:gridCol w:w="1119"/>
        <w:gridCol w:w="11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250" w:type="dxa"/>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等线" w:hAnsi="等线" w:eastAsia="等线" w:cs="等线"/>
                <w:b/>
                <w:bCs/>
                <w:i w:val="0"/>
                <w:iCs w:val="0"/>
                <w:color w:val="FF0000"/>
                <w:sz w:val="16"/>
                <w:szCs w:val="16"/>
                <w:highlight w:val="none"/>
                <w:u w:val="none"/>
              </w:rPr>
            </w:pPr>
            <w:r>
              <w:rPr>
                <w:rFonts w:hint="eastAsia" w:ascii="等线" w:hAnsi="等线" w:eastAsia="等线" w:cs="等线"/>
                <w:b/>
                <w:bCs/>
                <w:i w:val="0"/>
                <w:iCs w:val="0"/>
                <w:color w:val="000000" w:themeColor="text1"/>
                <w:kern w:val="0"/>
                <w:sz w:val="16"/>
                <w:szCs w:val="16"/>
                <w:highlight w:val="none"/>
                <w:u w:val="none"/>
                <w:lang w:val="en-US" w:eastAsia="zh-CN" w:bidi="ar"/>
                <w14:textFill>
                  <w14:solidFill>
                    <w14:schemeClr w14:val="tx1"/>
                  </w14:solidFill>
                </w14:textFill>
              </w:rPr>
              <w:t>表1 2022年城乡居民医疗保险补助资金分解情况表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b/>
                <w:bCs/>
                <w:i w:val="0"/>
                <w:iCs w:val="0"/>
                <w:color w:val="000000"/>
                <w:sz w:val="16"/>
                <w:szCs w:val="16"/>
                <w:highlight w:val="none"/>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b/>
                <w:bCs/>
                <w:i w:val="0"/>
                <w:iCs w:val="0"/>
                <w:color w:val="000000"/>
                <w:sz w:val="16"/>
                <w:szCs w:val="16"/>
                <w:highlight w:val="none"/>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b/>
                <w:bCs/>
                <w:i w:val="0"/>
                <w:iCs w:val="0"/>
                <w:color w:val="000000"/>
                <w:sz w:val="16"/>
                <w:szCs w:val="16"/>
                <w:highlight w:val="none"/>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b/>
                <w:bCs/>
                <w:i w:val="0"/>
                <w:iCs w:val="0"/>
                <w:color w:val="000000"/>
                <w:sz w:val="16"/>
                <w:szCs w:val="16"/>
                <w:highlight w:val="none"/>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b/>
                <w:bCs/>
                <w:i w:val="0"/>
                <w:iCs w:val="0"/>
                <w:color w:val="000000"/>
                <w:sz w:val="16"/>
                <w:szCs w:val="16"/>
                <w:highlight w:val="none"/>
                <w:u w:val="none"/>
              </w:rPr>
            </w:pPr>
          </w:p>
        </w:tc>
        <w:tc>
          <w:tcPr>
            <w:tcW w:w="0" w:type="auto"/>
            <w:tcBorders>
              <w:top w:val="nil"/>
              <w:left w:val="nil"/>
              <w:bottom w:val="nil"/>
              <w:right w:val="nil"/>
            </w:tcBorders>
            <w:shd w:val="clear" w:color="auto" w:fill="auto"/>
            <w:noWrap/>
            <w:vAlign w:val="center"/>
          </w:tcPr>
          <w:p>
            <w:pPr>
              <w:jc w:val="center"/>
              <w:rPr>
                <w:rFonts w:hint="eastAsia" w:ascii="等线" w:hAnsi="等线" w:eastAsia="等线" w:cs="等线"/>
                <w:b/>
                <w:bCs/>
                <w:i w:val="0"/>
                <w:iCs w:val="0"/>
                <w:color w:val="000000"/>
                <w:sz w:val="16"/>
                <w:szCs w:val="16"/>
                <w:highlight w:val="none"/>
                <w:u w:val="none"/>
              </w:rPr>
            </w:pPr>
          </w:p>
        </w:tc>
        <w:tc>
          <w:tcPr>
            <w:tcW w:w="0" w:type="auto"/>
            <w:tcBorders>
              <w:top w:val="nil"/>
              <w:left w:val="nil"/>
              <w:bottom w:val="nil"/>
              <w:right w:val="nil"/>
            </w:tcBorders>
            <w:shd w:val="clear" w:color="auto" w:fill="auto"/>
            <w:noWrap/>
            <w:vAlign w:val="center"/>
          </w:tcPr>
          <w:p>
            <w:pPr>
              <w:jc w:val="center"/>
              <w:rPr>
                <w:rFonts w:hint="eastAsia" w:ascii="等线" w:hAnsi="等线" w:eastAsia="等线" w:cs="等线"/>
                <w:b/>
                <w:bCs/>
                <w:i w:val="0"/>
                <w:iCs w:val="0"/>
                <w:color w:val="000000"/>
                <w:sz w:val="16"/>
                <w:szCs w:val="16"/>
                <w:highlight w:val="none"/>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16"/>
                <w:szCs w:val="16"/>
                <w:highlight w:val="none"/>
                <w:u w:val="none"/>
              </w:rPr>
            </w:pPr>
            <w:r>
              <w:rPr>
                <w:rFonts w:hint="eastAsia" w:ascii="等线" w:hAnsi="等线" w:eastAsia="等线" w:cs="等线"/>
                <w:i w:val="0"/>
                <w:iCs w:val="0"/>
                <w:color w:val="000000"/>
                <w:kern w:val="0"/>
                <w:sz w:val="16"/>
                <w:szCs w:val="16"/>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16"/>
                <w:szCs w:val="16"/>
                <w:highlight w:val="none"/>
                <w:u w:val="none"/>
              </w:rPr>
            </w:pPr>
            <w:r>
              <w:rPr>
                <w:rFonts w:hint="eastAsia" w:ascii="等线" w:hAnsi="等线" w:eastAsia="等线" w:cs="等线"/>
                <w:b/>
                <w:bCs/>
                <w:i w:val="0"/>
                <w:iCs w:val="0"/>
                <w:color w:val="000000"/>
                <w:kern w:val="0"/>
                <w:sz w:val="16"/>
                <w:szCs w:val="16"/>
                <w:highlight w:val="none"/>
                <w:u w:val="none"/>
                <w:lang w:val="en-US" w:eastAsia="zh-CN" w:bidi="ar"/>
              </w:rPr>
              <w:t>编号</w:t>
            </w:r>
          </w:p>
        </w:tc>
        <w:tc>
          <w:tcPr>
            <w:tcW w:w="0" w:type="auto"/>
            <w:vMerge w:val="restart"/>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16"/>
                <w:szCs w:val="16"/>
                <w:highlight w:val="none"/>
                <w:u w:val="none"/>
              </w:rPr>
            </w:pPr>
            <w:r>
              <w:rPr>
                <w:rFonts w:hint="eastAsia" w:ascii="等线" w:hAnsi="等线" w:eastAsia="等线" w:cs="等线"/>
                <w:b/>
                <w:bCs/>
                <w:i w:val="0"/>
                <w:iCs w:val="0"/>
                <w:color w:val="000000"/>
                <w:kern w:val="0"/>
                <w:sz w:val="16"/>
                <w:szCs w:val="16"/>
                <w:highlight w:val="none"/>
                <w:u w:val="none"/>
                <w:lang w:val="en-US" w:eastAsia="zh-CN" w:bidi="ar"/>
              </w:rPr>
              <w:t>单位</w:t>
            </w:r>
          </w:p>
        </w:tc>
        <w:tc>
          <w:tcPr>
            <w:tcW w:w="0" w:type="auto"/>
            <w:gridSpan w:val="2"/>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16"/>
                <w:szCs w:val="16"/>
                <w:highlight w:val="none"/>
                <w:u w:val="none"/>
              </w:rPr>
            </w:pPr>
            <w:r>
              <w:rPr>
                <w:rFonts w:hint="eastAsia" w:ascii="等线" w:hAnsi="等线" w:eastAsia="等线" w:cs="等线"/>
                <w:b/>
                <w:bCs/>
                <w:i w:val="0"/>
                <w:iCs w:val="0"/>
                <w:color w:val="000000"/>
                <w:kern w:val="0"/>
                <w:sz w:val="16"/>
                <w:szCs w:val="16"/>
                <w:highlight w:val="none"/>
                <w:u w:val="none"/>
                <w:lang w:val="en-US" w:eastAsia="zh-CN" w:bidi="ar"/>
              </w:rPr>
              <w:t>第一批</w:t>
            </w:r>
          </w:p>
        </w:tc>
        <w:tc>
          <w:tcPr>
            <w:tcW w:w="0" w:type="auto"/>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16"/>
                <w:szCs w:val="16"/>
                <w:highlight w:val="none"/>
                <w:u w:val="none"/>
              </w:rPr>
            </w:pPr>
            <w:r>
              <w:rPr>
                <w:rFonts w:hint="eastAsia" w:ascii="等线" w:hAnsi="等线" w:eastAsia="等线" w:cs="等线"/>
                <w:b/>
                <w:bCs/>
                <w:i w:val="0"/>
                <w:iCs w:val="0"/>
                <w:color w:val="000000"/>
                <w:kern w:val="0"/>
                <w:sz w:val="16"/>
                <w:szCs w:val="16"/>
                <w:highlight w:val="none"/>
                <w:u w:val="none"/>
                <w:lang w:val="en-US" w:eastAsia="zh-CN" w:bidi="ar"/>
              </w:rPr>
              <w:t>第二批</w:t>
            </w:r>
          </w:p>
        </w:tc>
        <w:tc>
          <w:tcPr>
            <w:tcW w:w="0" w:type="auto"/>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16"/>
                <w:szCs w:val="16"/>
                <w:highlight w:val="none"/>
                <w:u w:val="none"/>
              </w:rPr>
            </w:pPr>
            <w:r>
              <w:rPr>
                <w:rFonts w:hint="eastAsia" w:ascii="等线" w:hAnsi="等线" w:eastAsia="等线" w:cs="等线"/>
                <w:b/>
                <w:bCs/>
                <w:i w:val="0"/>
                <w:iCs w:val="0"/>
                <w:color w:val="000000"/>
                <w:kern w:val="0"/>
                <w:sz w:val="16"/>
                <w:szCs w:val="16"/>
                <w:highlight w:val="none"/>
                <w:u w:val="none"/>
                <w:lang w:val="en-US" w:eastAsia="zh-CN" w:bidi="ar"/>
              </w:rPr>
              <w:t>第三批</w:t>
            </w:r>
          </w:p>
        </w:tc>
        <w:tc>
          <w:tcPr>
            <w:tcW w:w="0" w:type="auto"/>
            <w:gridSpan w:val="2"/>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16"/>
                <w:szCs w:val="16"/>
                <w:highlight w:val="none"/>
                <w:u w:val="none"/>
              </w:rPr>
            </w:pPr>
            <w:r>
              <w:rPr>
                <w:rFonts w:hint="eastAsia" w:ascii="等线" w:hAnsi="等线" w:eastAsia="等线" w:cs="等线"/>
                <w:b/>
                <w:bCs/>
                <w:i w:val="0"/>
                <w:iCs w:val="0"/>
                <w:color w:val="000000"/>
                <w:kern w:val="0"/>
                <w:sz w:val="16"/>
                <w:szCs w:val="16"/>
                <w:highlight w:val="none"/>
                <w:u w:val="none"/>
                <w:lang w:val="en-US" w:eastAsia="zh-CN" w:bidi="ar"/>
              </w:rPr>
              <w:t>合计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等线" w:hAnsi="等线" w:eastAsia="等线" w:cs="等线"/>
                <w:b/>
                <w:bCs/>
                <w:i w:val="0"/>
                <w:iCs w:val="0"/>
                <w:color w:val="000000"/>
                <w:sz w:val="16"/>
                <w:szCs w:val="16"/>
                <w:highlight w:val="none"/>
                <w:u w:val="none"/>
              </w:rPr>
            </w:pPr>
          </w:p>
        </w:tc>
        <w:tc>
          <w:tcPr>
            <w:tcW w:w="0" w:type="auto"/>
            <w:vMerge w:val="continue"/>
            <w:tcBorders>
              <w:top w:val="single" w:color="000000" w:sz="8" w:space="0"/>
              <w:left w:val="nil"/>
              <w:bottom w:val="single" w:color="000000" w:sz="8" w:space="0"/>
              <w:right w:val="single" w:color="000000" w:sz="8" w:space="0"/>
            </w:tcBorders>
            <w:shd w:val="clear" w:color="auto" w:fill="auto"/>
            <w:noWrap/>
            <w:vAlign w:val="center"/>
          </w:tcPr>
          <w:p>
            <w:pPr>
              <w:jc w:val="center"/>
              <w:rPr>
                <w:rFonts w:hint="eastAsia" w:ascii="等线" w:hAnsi="等线" w:eastAsia="等线" w:cs="等线"/>
                <w:b/>
                <w:bCs/>
                <w:i w:val="0"/>
                <w:iCs w:val="0"/>
                <w:color w:val="000000"/>
                <w:sz w:val="16"/>
                <w:szCs w:val="16"/>
                <w:highlight w:val="none"/>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16"/>
                <w:szCs w:val="16"/>
                <w:highlight w:val="none"/>
                <w:u w:val="none"/>
              </w:rPr>
            </w:pPr>
            <w:r>
              <w:rPr>
                <w:rFonts w:hint="eastAsia" w:ascii="等线" w:hAnsi="等线" w:eastAsia="等线" w:cs="等线"/>
                <w:b/>
                <w:bCs/>
                <w:i w:val="0"/>
                <w:iCs w:val="0"/>
                <w:color w:val="000000"/>
                <w:kern w:val="0"/>
                <w:sz w:val="16"/>
                <w:szCs w:val="16"/>
                <w:highlight w:val="none"/>
                <w:u w:val="none"/>
                <w:lang w:val="en-US" w:eastAsia="zh-CN" w:bidi="ar"/>
              </w:rPr>
              <w:t>中央</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16"/>
                <w:szCs w:val="16"/>
                <w:highlight w:val="none"/>
                <w:u w:val="none"/>
              </w:rPr>
            </w:pPr>
            <w:r>
              <w:rPr>
                <w:rFonts w:hint="eastAsia" w:ascii="等线" w:hAnsi="等线" w:eastAsia="等线" w:cs="等线"/>
                <w:b/>
                <w:bCs/>
                <w:i w:val="0"/>
                <w:iCs w:val="0"/>
                <w:color w:val="000000"/>
                <w:kern w:val="0"/>
                <w:sz w:val="16"/>
                <w:szCs w:val="16"/>
                <w:highlight w:val="none"/>
                <w:u w:val="none"/>
                <w:lang w:val="en-US" w:eastAsia="zh-CN" w:bidi="ar"/>
              </w:rPr>
              <w:t>地方</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16"/>
                <w:szCs w:val="16"/>
                <w:highlight w:val="none"/>
                <w:u w:val="none"/>
              </w:rPr>
            </w:pPr>
            <w:r>
              <w:rPr>
                <w:rFonts w:hint="eastAsia" w:ascii="等线" w:hAnsi="等线" w:eastAsia="等线" w:cs="等线"/>
                <w:b/>
                <w:bCs/>
                <w:i w:val="0"/>
                <w:iCs w:val="0"/>
                <w:color w:val="000000"/>
                <w:kern w:val="0"/>
                <w:sz w:val="16"/>
                <w:szCs w:val="16"/>
                <w:highlight w:val="none"/>
                <w:u w:val="none"/>
                <w:lang w:val="en-US" w:eastAsia="zh-CN" w:bidi="ar"/>
              </w:rPr>
              <w:t>中央</w:t>
            </w:r>
          </w:p>
        </w:tc>
        <w:tc>
          <w:tcPr>
            <w:tcW w:w="0" w:type="auto"/>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16"/>
                <w:szCs w:val="16"/>
                <w:highlight w:val="none"/>
                <w:u w:val="none"/>
              </w:rPr>
            </w:pPr>
            <w:r>
              <w:rPr>
                <w:rFonts w:hint="eastAsia" w:ascii="等线" w:hAnsi="等线" w:eastAsia="等线" w:cs="等线"/>
                <w:b/>
                <w:bCs/>
                <w:i w:val="0"/>
                <w:iCs w:val="0"/>
                <w:color w:val="000000"/>
                <w:kern w:val="0"/>
                <w:sz w:val="16"/>
                <w:szCs w:val="16"/>
                <w:highlight w:val="none"/>
                <w:u w:val="none"/>
                <w:lang w:val="en-US" w:eastAsia="zh-CN" w:bidi="ar"/>
              </w:rPr>
              <w:t>中央</w:t>
            </w:r>
          </w:p>
        </w:tc>
        <w:tc>
          <w:tcPr>
            <w:tcW w:w="0" w:type="auto"/>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16"/>
                <w:szCs w:val="16"/>
                <w:highlight w:val="none"/>
                <w:u w:val="none"/>
              </w:rPr>
            </w:pPr>
            <w:r>
              <w:rPr>
                <w:rFonts w:hint="eastAsia" w:ascii="等线" w:hAnsi="等线" w:eastAsia="等线" w:cs="等线"/>
                <w:b/>
                <w:bCs/>
                <w:i w:val="0"/>
                <w:iCs w:val="0"/>
                <w:color w:val="000000"/>
                <w:kern w:val="0"/>
                <w:sz w:val="16"/>
                <w:szCs w:val="16"/>
                <w:highlight w:val="none"/>
                <w:u w:val="none"/>
                <w:lang w:val="en-US" w:eastAsia="zh-CN" w:bidi="ar"/>
              </w:rPr>
              <w:t>中央</w:t>
            </w:r>
          </w:p>
        </w:tc>
        <w:tc>
          <w:tcPr>
            <w:tcW w:w="0" w:type="auto"/>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16"/>
                <w:szCs w:val="16"/>
                <w:highlight w:val="none"/>
                <w:u w:val="none"/>
              </w:rPr>
            </w:pPr>
            <w:r>
              <w:rPr>
                <w:rFonts w:hint="eastAsia" w:ascii="等线" w:hAnsi="等线" w:eastAsia="等线" w:cs="等线"/>
                <w:b/>
                <w:bCs/>
                <w:i w:val="0"/>
                <w:iCs w:val="0"/>
                <w:color w:val="000000"/>
                <w:kern w:val="0"/>
                <w:sz w:val="16"/>
                <w:szCs w:val="16"/>
                <w:highlight w:val="none"/>
                <w:u w:val="none"/>
                <w:lang w:val="en-US" w:eastAsia="zh-CN" w:bidi="ar"/>
              </w:rPr>
              <w:t>地方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jc w:val="center"/>
              <w:rPr>
                <w:rFonts w:hint="eastAsia" w:ascii="等线" w:hAnsi="等线" w:eastAsia="等线" w:cs="等线"/>
                <w:i w:val="0"/>
                <w:iCs w:val="0"/>
                <w:color w:val="000000"/>
                <w:sz w:val="16"/>
                <w:szCs w:val="16"/>
                <w:highlight w:val="none"/>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全区合计</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654,357.00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249,977.55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95,020.00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-9,855.00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739,522.00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249,977.55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乌鲁木齐</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43,265.00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12,792.85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6,477.00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-1,685.00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48,057.00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12,792.85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克拉玛依</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4,351.00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8,410.38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611.00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141.00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5,103.00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8,410.38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伊犁州</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79,209.00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22,852.82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12,427.00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-4,064.00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87,572.00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22,852.82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塔城</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27,184.00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7,903.00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4,062.00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-512.00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30,734.00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7,903.00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阿勒泰</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17,003.00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8,540.00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2,549.00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-417.00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19,135.00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8,540.00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6</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博州</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11,082.00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8,069.08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1,846.00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-571.00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12,357.00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8,069.08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7</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昌吉</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32,667.00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11,096.00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4,454.00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-589.00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36,532.00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11,096.00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8</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巴州</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34,265.00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9,194.00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4,951.00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187.00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39,403.00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9,194.00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9</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阿克苏</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87,262.00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23,584.00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11,896.00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585.00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99,743.00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23,584.00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克州</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20,943.00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26,474.70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3,067.00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-140.00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23,870.00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26,474.70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11</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喀什</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170,997.00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61,804.00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24,173.00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-717.00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194,453.00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61,804.00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12</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和田</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94,520.00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35,330.48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13,027.00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153.00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107,700.00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35,330.48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13</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吐鲁番</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20,001.00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5,804.19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3,650.00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-1,743.00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21,908.00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5,804.19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哈密</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11,608.00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8,122.05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1,830.00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-483.00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12,955.00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8,122.05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FF0000"/>
                <w:sz w:val="16"/>
                <w:szCs w:val="16"/>
                <w:highlight w:val="none"/>
                <w:u w:val="none"/>
              </w:rPr>
            </w:pPr>
            <w:r>
              <w:rPr>
                <w:rFonts w:hint="eastAsia" w:ascii="等线" w:hAnsi="等线" w:eastAsia="等线" w:cs="等线"/>
                <w:b/>
                <w:bCs/>
                <w:i w:val="0"/>
                <w:iCs w:val="0"/>
                <w:color w:val="000000" w:themeColor="text1"/>
                <w:kern w:val="0"/>
                <w:sz w:val="16"/>
                <w:szCs w:val="16"/>
                <w:highlight w:val="none"/>
                <w:u w:val="none"/>
                <w:lang w:val="en-US" w:eastAsia="zh-CN" w:bidi="ar"/>
                <w14:textFill>
                  <w14:solidFill>
                    <w14:schemeClr w14:val="tx1"/>
                  </w14:solidFill>
                </w14:textFill>
              </w:rPr>
              <w:t>表2 财政补助资金执行情况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0" w:type="auto"/>
            <w:tcBorders>
              <w:top w:val="nil"/>
              <w:left w:val="nil"/>
              <w:bottom w:val="nil"/>
              <w:right w:val="nil"/>
            </w:tcBorders>
            <w:shd w:val="clear" w:color="auto" w:fill="auto"/>
            <w:noWrap/>
            <w:vAlign w:val="center"/>
          </w:tcPr>
          <w:p>
            <w:pPr>
              <w:jc w:val="both"/>
              <w:rPr>
                <w:rFonts w:hint="eastAsia" w:ascii="宋体" w:hAnsi="宋体" w:eastAsia="宋体" w:cs="宋体"/>
                <w:i w:val="0"/>
                <w:iCs w:val="0"/>
                <w:color w:val="000000"/>
                <w:sz w:val="16"/>
                <w:szCs w:val="16"/>
                <w:highlight w:val="none"/>
                <w:u w:val="none"/>
              </w:rPr>
            </w:pPr>
          </w:p>
        </w:tc>
        <w:tc>
          <w:tcPr>
            <w:tcW w:w="0" w:type="auto"/>
            <w:gridSpan w:val="2"/>
            <w:tcBorders>
              <w:top w:val="nil"/>
              <w:left w:val="nil"/>
              <w:bottom w:val="nil"/>
              <w:right w:val="nil"/>
            </w:tcBorders>
            <w:shd w:val="clear" w:color="auto" w:fill="auto"/>
            <w:noWrap/>
            <w:vAlign w:val="center"/>
          </w:tcPr>
          <w:p>
            <w:pPr>
              <w:jc w:val="both"/>
              <w:rPr>
                <w:rFonts w:hint="eastAsia" w:ascii="宋体" w:hAnsi="宋体" w:eastAsia="宋体" w:cs="宋体"/>
                <w:i w:val="0"/>
                <w:iCs w:val="0"/>
                <w:color w:val="000000"/>
                <w:sz w:val="16"/>
                <w:szCs w:val="16"/>
                <w:highlight w:val="none"/>
                <w:u w:val="none"/>
              </w:rPr>
            </w:pPr>
          </w:p>
        </w:tc>
        <w:tc>
          <w:tcPr>
            <w:tcW w:w="0" w:type="auto"/>
            <w:tcBorders>
              <w:top w:val="nil"/>
              <w:left w:val="nil"/>
              <w:bottom w:val="nil"/>
              <w:right w:val="nil"/>
            </w:tcBorders>
            <w:shd w:val="clear" w:color="auto" w:fill="auto"/>
            <w:noWrap/>
            <w:vAlign w:val="center"/>
          </w:tcPr>
          <w:p>
            <w:pPr>
              <w:jc w:val="both"/>
              <w:rPr>
                <w:rFonts w:hint="eastAsia" w:ascii="宋体" w:hAnsi="宋体" w:eastAsia="宋体" w:cs="宋体"/>
                <w:i w:val="0"/>
                <w:iCs w:val="0"/>
                <w:color w:val="000000"/>
                <w:sz w:val="16"/>
                <w:szCs w:val="16"/>
                <w:highlight w:val="none"/>
                <w:u w:val="none"/>
              </w:rPr>
            </w:pPr>
          </w:p>
        </w:tc>
        <w:tc>
          <w:tcPr>
            <w:tcW w:w="0" w:type="auto"/>
            <w:tcBorders>
              <w:top w:val="nil"/>
              <w:left w:val="nil"/>
              <w:bottom w:val="nil"/>
              <w:right w:val="nil"/>
            </w:tcBorders>
            <w:shd w:val="clear" w:color="auto" w:fill="auto"/>
            <w:noWrap/>
            <w:vAlign w:val="center"/>
          </w:tcPr>
          <w:p>
            <w:pPr>
              <w:jc w:val="both"/>
              <w:rPr>
                <w:rFonts w:hint="eastAsia" w:ascii="宋体" w:hAnsi="宋体" w:eastAsia="宋体" w:cs="宋体"/>
                <w:i w:val="0"/>
                <w:iCs w:val="0"/>
                <w:color w:val="000000"/>
                <w:sz w:val="16"/>
                <w:szCs w:val="16"/>
                <w:highlight w:val="none"/>
                <w:u w:val="none"/>
              </w:rPr>
            </w:pPr>
          </w:p>
        </w:tc>
        <w:tc>
          <w:tcPr>
            <w:tcW w:w="0" w:type="auto"/>
            <w:tcBorders>
              <w:top w:val="nil"/>
              <w:left w:val="nil"/>
              <w:bottom w:val="nil"/>
              <w:right w:val="nil"/>
            </w:tcBorders>
            <w:shd w:val="clear" w:color="auto" w:fill="auto"/>
            <w:noWrap/>
            <w:vAlign w:val="center"/>
          </w:tcPr>
          <w:p>
            <w:pPr>
              <w:jc w:val="both"/>
              <w:rPr>
                <w:rFonts w:hint="eastAsia" w:ascii="等线" w:hAnsi="等线" w:eastAsia="等线" w:cs="等线"/>
                <w:i w:val="0"/>
                <w:iCs w:val="0"/>
                <w:color w:val="000000"/>
                <w:sz w:val="16"/>
                <w:szCs w:val="16"/>
                <w:highlight w:val="none"/>
                <w:u w:val="none"/>
              </w:rPr>
            </w:pPr>
          </w:p>
        </w:tc>
        <w:tc>
          <w:tcPr>
            <w:tcW w:w="0" w:type="auto"/>
            <w:gridSpan w:val="2"/>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等线" w:hAnsi="等线" w:eastAsia="等线" w:cs="等线"/>
                <w:i w:val="0"/>
                <w:iCs w:val="0"/>
                <w:color w:val="000000"/>
                <w:sz w:val="16"/>
                <w:szCs w:val="16"/>
                <w:highlight w:val="none"/>
                <w:u w:val="none"/>
              </w:rPr>
            </w:pPr>
            <w:r>
              <w:rPr>
                <w:rFonts w:hint="eastAsia" w:ascii="等线" w:hAnsi="等线" w:eastAsia="等线" w:cs="等线"/>
                <w:i w:val="0"/>
                <w:iCs w:val="0"/>
                <w:color w:val="000000"/>
                <w:kern w:val="0"/>
                <w:sz w:val="16"/>
                <w:szCs w:val="16"/>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16"/>
                <w:szCs w:val="16"/>
                <w:highlight w:val="none"/>
                <w:u w:val="none"/>
              </w:rPr>
            </w:pPr>
            <w:r>
              <w:rPr>
                <w:rFonts w:hint="eastAsia" w:ascii="等线" w:hAnsi="等线" w:eastAsia="等线" w:cs="等线"/>
                <w:b/>
                <w:bCs/>
                <w:i w:val="0"/>
                <w:iCs w:val="0"/>
                <w:color w:val="000000"/>
                <w:kern w:val="0"/>
                <w:sz w:val="16"/>
                <w:szCs w:val="16"/>
                <w:highlight w:val="none"/>
                <w:u w:val="none"/>
                <w:lang w:val="en-US" w:eastAsia="zh-CN" w:bidi="ar"/>
              </w:rPr>
              <w:t>编号</w:t>
            </w:r>
          </w:p>
        </w:tc>
        <w:tc>
          <w:tcPr>
            <w:tcW w:w="0" w:type="auto"/>
            <w:gridSpan w:val="2"/>
            <w:vMerge w:val="restart"/>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16"/>
                <w:szCs w:val="16"/>
                <w:highlight w:val="none"/>
                <w:u w:val="none"/>
              </w:rPr>
            </w:pPr>
            <w:r>
              <w:rPr>
                <w:rFonts w:hint="eastAsia" w:ascii="等线" w:hAnsi="等线" w:eastAsia="等线" w:cs="等线"/>
                <w:b/>
                <w:bCs/>
                <w:i w:val="0"/>
                <w:iCs w:val="0"/>
                <w:color w:val="000000"/>
                <w:kern w:val="0"/>
                <w:sz w:val="16"/>
                <w:szCs w:val="16"/>
                <w:highlight w:val="none"/>
                <w:u w:val="none"/>
                <w:lang w:val="en-US" w:eastAsia="zh-CN" w:bidi="ar"/>
              </w:rPr>
              <w:t>单位</w:t>
            </w:r>
          </w:p>
        </w:tc>
        <w:tc>
          <w:tcPr>
            <w:tcW w:w="0" w:type="auto"/>
            <w:gridSpan w:val="2"/>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16"/>
                <w:szCs w:val="16"/>
                <w:highlight w:val="none"/>
                <w:u w:val="none"/>
              </w:rPr>
            </w:pPr>
            <w:r>
              <w:rPr>
                <w:rFonts w:hint="eastAsia" w:ascii="等线" w:hAnsi="等线" w:eastAsia="等线" w:cs="等线"/>
                <w:b/>
                <w:bCs/>
                <w:i w:val="0"/>
                <w:iCs w:val="0"/>
                <w:color w:val="000000"/>
                <w:kern w:val="0"/>
                <w:sz w:val="16"/>
                <w:szCs w:val="16"/>
                <w:highlight w:val="none"/>
                <w:u w:val="none"/>
                <w:lang w:val="en-US" w:eastAsia="zh-CN" w:bidi="ar"/>
              </w:rPr>
              <w:t>财政补助资金预算数</w:t>
            </w:r>
          </w:p>
        </w:tc>
        <w:tc>
          <w:tcPr>
            <w:tcW w:w="0" w:type="auto"/>
            <w:gridSpan w:val="3"/>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16"/>
                <w:szCs w:val="16"/>
                <w:highlight w:val="none"/>
                <w:u w:val="none"/>
              </w:rPr>
            </w:pPr>
            <w:r>
              <w:rPr>
                <w:rFonts w:hint="eastAsia" w:ascii="等线" w:hAnsi="等线" w:eastAsia="等线" w:cs="等线"/>
                <w:b/>
                <w:bCs/>
                <w:i w:val="0"/>
                <w:iCs w:val="0"/>
                <w:color w:val="000000"/>
                <w:kern w:val="0"/>
                <w:sz w:val="16"/>
                <w:szCs w:val="16"/>
                <w:highlight w:val="none"/>
                <w:u w:val="none"/>
                <w:lang w:val="en-US" w:eastAsia="zh-CN" w:bidi="ar"/>
              </w:rPr>
              <w:t>全年实际支出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等线" w:hAnsi="等线" w:eastAsia="等线" w:cs="等线"/>
                <w:b/>
                <w:bCs/>
                <w:i w:val="0"/>
                <w:iCs w:val="0"/>
                <w:color w:val="000000"/>
                <w:sz w:val="16"/>
                <w:szCs w:val="16"/>
                <w:highlight w:val="none"/>
                <w:u w:val="none"/>
              </w:rPr>
            </w:pPr>
          </w:p>
        </w:tc>
        <w:tc>
          <w:tcPr>
            <w:tcW w:w="0" w:type="auto"/>
            <w:gridSpan w:val="2"/>
            <w:vMerge w:val="continue"/>
            <w:tcBorders>
              <w:top w:val="single" w:color="000000" w:sz="8" w:space="0"/>
              <w:left w:val="nil"/>
              <w:bottom w:val="single" w:color="000000" w:sz="8" w:space="0"/>
              <w:right w:val="single" w:color="000000" w:sz="8" w:space="0"/>
            </w:tcBorders>
            <w:shd w:val="clear" w:color="auto" w:fill="auto"/>
            <w:noWrap/>
            <w:vAlign w:val="center"/>
          </w:tcPr>
          <w:p>
            <w:pPr>
              <w:jc w:val="center"/>
              <w:rPr>
                <w:rFonts w:hint="eastAsia" w:ascii="等线" w:hAnsi="等线" w:eastAsia="等线" w:cs="等线"/>
                <w:b/>
                <w:bCs/>
                <w:i w:val="0"/>
                <w:iCs w:val="0"/>
                <w:color w:val="000000"/>
                <w:sz w:val="16"/>
                <w:szCs w:val="16"/>
                <w:highlight w:val="none"/>
                <w:u w:val="none"/>
              </w:rPr>
            </w:pP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16"/>
                <w:szCs w:val="16"/>
                <w:highlight w:val="none"/>
                <w:u w:val="none"/>
              </w:rPr>
            </w:pPr>
            <w:r>
              <w:rPr>
                <w:rFonts w:hint="eastAsia" w:ascii="等线" w:hAnsi="等线" w:eastAsia="等线" w:cs="等线"/>
                <w:b/>
                <w:bCs/>
                <w:i w:val="0"/>
                <w:iCs w:val="0"/>
                <w:color w:val="000000"/>
                <w:kern w:val="0"/>
                <w:sz w:val="16"/>
                <w:szCs w:val="16"/>
                <w:highlight w:val="none"/>
                <w:u w:val="none"/>
                <w:lang w:val="en-US" w:eastAsia="zh-CN" w:bidi="ar"/>
              </w:rPr>
              <w:t>中央</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16"/>
                <w:szCs w:val="16"/>
                <w:highlight w:val="none"/>
                <w:u w:val="none"/>
              </w:rPr>
            </w:pPr>
            <w:r>
              <w:rPr>
                <w:rFonts w:hint="eastAsia" w:ascii="等线" w:hAnsi="等线" w:eastAsia="等线" w:cs="等线"/>
                <w:b/>
                <w:bCs/>
                <w:i w:val="0"/>
                <w:iCs w:val="0"/>
                <w:color w:val="000000"/>
                <w:kern w:val="0"/>
                <w:sz w:val="16"/>
                <w:szCs w:val="16"/>
                <w:highlight w:val="none"/>
                <w:u w:val="none"/>
                <w:lang w:val="en-US" w:eastAsia="zh-CN" w:bidi="ar"/>
              </w:rPr>
              <w:t>地方</w:t>
            </w:r>
          </w:p>
        </w:tc>
        <w:tc>
          <w:tcPr>
            <w:tcW w:w="0" w:type="auto"/>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16"/>
                <w:szCs w:val="16"/>
                <w:highlight w:val="none"/>
                <w:u w:val="none"/>
              </w:rPr>
            </w:pPr>
            <w:r>
              <w:rPr>
                <w:rFonts w:hint="eastAsia" w:ascii="等线" w:hAnsi="等线" w:eastAsia="等线" w:cs="等线"/>
                <w:b/>
                <w:bCs/>
                <w:i w:val="0"/>
                <w:iCs w:val="0"/>
                <w:color w:val="000000"/>
                <w:kern w:val="0"/>
                <w:sz w:val="16"/>
                <w:szCs w:val="16"/>
                <w:highlight w:val="none"/>
                <w:u w:val="none"/>
                <w:lang w:val="en-US" w:eastAsia="zh-CN" w:bidi="ar"/>
              </w:rPr>
              <w:t>中央</w:t>
            </w:r>
          </w:p>
        </w:tc>
        <w:tc>
          <w:tcPr>
            <w:tcW w:w="0" w:type="auto"/>
            <w:gridSpan w:val="2"/>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b/>
                <w:bCs/>
                <w:i w:val="0"/>
                <w:iCs w:val="0"/>
                <w:color w:val="000000"/>
                <w:sz w:val="16"/>
                <w:szCs w:val="16"/>
                <w:highlight w:val="none"/>
                <w:u w:val="none"/>
              </w:rPr>
            </w:pPr>
            <w:r>
              <w:rPr>
                <w:rFonts w:hint="eastAsia" w:ascii="等线" w:hAnsi="等线" w:eastAsia="等线" w:cs="等线"/>
                <w:b/>
                <w:bCs/>
                <w:i w:val="0"/>
                <w:iCs w:val="0"/>
                <w:color w:val="000000"/>
                <w:kern w:val="0"/>
                <w:sz w:val="16"/>
                <w:szCs w:val="16"/>
                <w:highlight w:val="none"/>
                <w:u w:val="none"/>
                <w:lang w:val="en-US" w:eastAsia="zh-CN" w:bidi="ar"/>
              </w:rPr>
              <w:t>地方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jc w:val="center"/>
              <w:rPr>
                <w:rFonts w:hint="eastAsia" w:ascii="等线" w:hAnsi="等线" w:eastAsia="等线" w:cs="等线"/>
                <w:i w:val="0"/>
                <w:iCs w:val="0"/>
                <w:color w:val="000000"/>
                <w:sz w:val="16"/>
                <w:szCs w:val="16"/>
                <w:highlight w:val="none"/>
                <w:u w:val="none"/>
              </w:rPr>
            </w:pPr>
          </w:p>
        </w:tc>
        <w:tc>
          <w:tcPr>
            <w:tcW w:w="0" w:type="auto"/>
            <w:gridSpan w:val="2"/>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全区合计</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739,522.00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249,977.55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739,522.00 </w:t>
            </w:r>
          </w:p>
        </w:tc>
        <w:tc>
          <w:tcPr>
            <w:tcW w:w="0" w:type="auto"/>
            <w:gridSpan w:val="2"/>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249,977.55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w:t>
            </w:r>
          </w:p>
        </w:tc>
        <w:tc>
          <w:tcPr>
            <w:tcW w:w="0" w:type="auto"/>
            <w:gridSpan w:val="2"/>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乌鲁木齐</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48,057.00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12,792.85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48,057.00 </w:t>
            </w:r>
          </w:p>
        </w:tc>
        <w:tc>
          <w:tcPr>
            <w:tcW w:w="0" w:type="auto"/>
            <w:gridSpan w:val="2"/>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12,792.85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0" w:type="auto"/>
            <w:gridSpan w:val="2"/>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克拉玛依</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5,103.00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8,410.38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5,103.00 </w:t>
            </w:r>
          </w:p>
        </w:tc>
        <w:tc>
          <w:tcPr>
            <w:tcW w:w="0" w:type="auto"/>
            <w:gridSpan w:val="2"/>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8,410.38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w:t>
            </w:r>
          </w:p>
        </w:tc>
        <w:tc>
          <w:tcPr>
            <w:tcW w:w="0" w:type="auto"/>
            <w:gridSpan w:val="2"/>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伊犁州</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87,572.00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22,852.82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87,572.00 </w:t>
            </w:r>
          </w:p>
        </w:tc>
        <w:tc>
          <w:tcPr>
            <w:tcW w:w="0" w:type="auto"/>
            <w:gridSpan w:val="2"/>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22,852.82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w:t>
            </w:r>
          </w:p>
        </w:tc>
        <w:tc>
          <w:tcPr>
            <w:tcW w:w="0" w:type="auto"/>
            <w:gridSpan w:val="2"/>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塔城</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30,734.00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7,903.00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30,734.00 </w:t>
            </w:r>
          </w:p>
        </w:tc>
        <w:tc>
          <w:tcPr>
            <w:tcW w:w="0" w:type="auto"/>
            <w:gridSpan w:val="2"/>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7,903.00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5</w:t>
            </w:r>
          </w:p>
        </w:tc>
        <w:tc>
          <w:tcPr>
            <w:tcW w:w="0" w:type="auto"/>
            <w:gridSpan w:val="2"/>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阿勒泰</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19,135.00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8,540.00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19,135.00 </w:t>
            </w:r>
          </w:p>
        </w:tc>
        <w:tc>
          <w:tcPr>
            <w:tcW w:w="0" w:type="auto"/>
            <w:gridSpan w:val="2"/>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8,540.00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6</w:t>
            </w:r>
          </w:p>
        </w:tc>
        <w:tc>
          <w:tcPr>
            <w:tcW w:w="0" w:type="auto"/>
            <w:gridSpan w:val="2"/>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博州</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12,357.00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8,069.08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12,357.00 </w:t>
            </w:r>
          </w:p>
        </w:tc>
        <w:tc>
          <w:tcPr>
            <w:tcW w:w="0" w:type="auto"/>
            <w:gridSpan w:val="2"/>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8,069.08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7</w:t>
            </w:r>
          </w:p>
        </w:tc>
        <w:tc>
          <w:tcPr>
            <w:tcW w:w="0" w:type="auto"/>
            <w:gridSpan w:val="2"/>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昌吉</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36,532.00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11,096.00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36,532.00 </w:t>
            </w:r>
          </w:p>
        </w:tc>
        <w:tc>
          <w:tcPr>
            <w:tcW w:w="0" w:type="auto"/>
            <w:gridSpan w:val="2"/>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11,096.00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8</w:t>
            </w:r>
          </w:p>
        </w:tc>
        <w:tc>
          <w:tcPr>
            <w:tcW w:w="0" w:type="auto"/>
            <w:gridSpan w:val="2"/>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巴州</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39,403.00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9,194.00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39,403.00 </w:t>
            </w:r>
          </w:p>
        </w:tc>
        <w:tc>
          <w:tcPr>
            <w:tcW w:w="0" w:type="auto"/>
            <w:gridSpan w:val="2"/>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9,194.00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9</w:t>
            </w:r>
          </w:p>
        </w:tc>
        <w:tc>
          <w:tcPr>
            <w:tcW w:w="0" w:type="auto"/>
            <w:gridSpan w:val="2"/>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阿克苏</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99,743.00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23,584.00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99,743.00 </w:t>
            </w:r>
          </w:p>
        </w:tc>
        <w:tc>
          <w:tcPr>
            <w:tcW w:w="0" w:type="auto"/>
            <w:gridSpan w:val="2"/>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23,584.00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10</w:t>
            </w:r>
          </w:p>
        </w:tc>
        <w:tc>
          <w:tcPr>
            <w:tcW w:w="0" w:type="auto"/>
            <w:gridSpan w:val="2"/>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克州</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23,870.00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26,474.70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23,870.00 </w:t>
            </w:r>
          </w:p>
        </w:tc>
        <w:tc>
          <w:tcPr>
            <w:tcW w:w="0" w:type="auto"/>
            <w:gridSpan w:val="2"/>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26,474.70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11</w:t>
            </w:r>
          </w:p>
        </w:tc>
        <w:tc>
          <w:tcPr>
            <w:tcW w:w="0" w:type="auto"/>
            <w:gridSpan w:val="2"/>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喀什</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194,453.00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61,804.00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194,453.00 </w:t>
            </w:r>
          </w:p>
        </w:tc>
        <w:tc>
          <w:tcPr>
            <w:tcW w:w="0" w:type="auto"/>
            <w:gridSpan w:val="2"/>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61,804.00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12</w:t>
            </w:r>
          </w:p>
        </w:tc>
        <w:tc>
          <w:tcPr>
            <w:tcW w:w="0" w:type="auto"/>
            <w:gridSpan w:val="2"/>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和田</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107,700.00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35,330.48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107,700.00 </w:t>
            </w:r>
          </w:p>
        </w:tc>
        <w:tc>
          <w:tcPr>
            <w:tcW w:w="0" w:type="auto"/>
            <w:gridSpan w:val="2"/>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35,330.48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13</w:t>
            </w:r>
          </w:p>
        </w:tc>
        <w:tc>
          <w:tcPr>
            <w:tcW w:w="0" w:type="auto"/>
            <w:gridSpan w:val="2"/>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吐鲁番</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21,908.00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5,804.19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21,908.00 </w:t>
            </w:r>
          </w:p>
        </w:tc>
        <w:tc>
          <w:tcPr>
            <w:tcW w:w="0" w:type="auto"/>
            <w:gridSpan w:val="2"/>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5,804.19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14</w:t>
            </w:r>
          </w:p>
        </w:tc>
        <w:tc>
          <w:tcPr>
            <w:tcW w:w="0" w:type="auto"/>
            <w:gridSpan w:val="2"/>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哈密</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12,955.00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8,122.05 </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12,955.00 </w:t>
            </w:r>
          </w:p>
        </w:tc>
        <w:tc>
          <w:tcPr>
            <w:tcW w:w="0" w:type="auto"/>
            <w:gridSpan w:val="2"/>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8,122.05 </w:t>
            </w:r>
          </w:p>
        </w:tc>
      </w:tr>
    </w:tbl>
    <w:p>
      <w:pPr>
        <w:pStyle w:val="10"/>
        <w:keepNext w:val="0"/>
        <w:keepLines w:val="0"/>
        <w:widowControl/>
        <w:suppressLineNumbers w:val="0"/>
        <w:spacing w:before="0" w:beforeAutospacing="0" w:after="0" w:afterAutospacing="0"/>
        <w:ind w:left="0" w:right="0" w:firstLine="0"/>
        <w:rPr>
          <w:rFonts w:hint="eastAsia" w:ascii="仿宋_GB2312" w:hAnsi="宋体" w:eastAsia="仿宋_GB2312" w:cs="Times New Roman"/>
          <w:bCs/>
          <w:kern w:val="2"/>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楷体" w:hAnsi="楷体" w:eastAsia="楷体" w:cs="楷体"/>
          <w:sz w:val="32"/>
          <w:szCs w:val="32"/>
          <w:highlight w:val="none"/>
        </w:rPr>
      </w:pPr>
      <w:bookmarkStart w:id="2" w:name="_Toc26985"/>
      <w:r>
        <w:rPr>
          <w:rFonts w:hint="eastAsia" w:ascii="楷体" w:hAnsi="楷体" w:eastAsia="楷体" w:cs="楷体"/>
          <w:sz w:val="32"/>
          <w:szCs w:val="32"/>
          <w:highlight w:val="none"/>
        </w:rPr>
        <w:t>（二）项目绩效目标</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1.年度总体目标</w:t>
      </w:r>
    </w:p>
    <w:p>
      <w:pPr>
        <w:pStyle w:val="4"/>
        <w:keepNext w:val="0"/>
        <w:keepLines w:val="0"/>
        <w:pageBreakBefore w:val="0"/>
        <w:widowControl w:val="0"/>
        <w:kinsoku/>
        <w:wordWrap/>
        <w:overflowPunct/>
        <w:topLinePunct w:val="0"/>
        <w:autoSpaceDE/>
        <w:autoSpaceDN/>
        <w:bidi w:val="0"/>
        <w:adjustRightInd/>
        <w:snapToGrid/>
        <w:spacing w:line="560" w:lineRule="exact"/>
        <w:ind w:firstLine="600"/>
        <w:textAlignment w:val="auto"/>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（1）</w:t>
      </w:r>
      <w:r>
        <w:rPr>
          <w:rFonts w:hint="eastAsia" w:ascii="方正仿宋_GB2312" w:hAnsi="方正仿宋_GB2312" w:eastAsia="方正仿宋_GB2312" w:cs="方正仿宋_GB2312"/>
          <w:color w:val="000000"/>
          <w:kern w:val="2"/>
          <w:sz w:val="32"/>
          <w:szCs w:val="32"/>
          <w:highlight w:val="none"/>
          <w:lang w:val="en-US" w:eastAsia="zh-CN" w:bidi="ar-SA"/>
        </w:rPr>
        <w:t>巩固参保率</w:t>
      </w:r>
      <w:r>
        <w:rPr>
          <w:rFonts w:hint="eastAsia" w:ascii="方正仿宋_GB2312" w:hAnsi="方正仿宋_GB2312" w:eastAsia="方正仿宋_GB2312" w:cs="方正仿宋_GB2312"/>
          <w:sz w:val="32"/>
          <w:szCs w:val="32"/>
          <w:highlight w:val="none"/>
        </w:rPr>
        <w:t>；</w:t>
      </w:r>
    </w:p>
    <w:p>
      <w:pPr>
        <w:pStyle w:val="4"/>
        <w:keepNext w:val="0"/>
        <w:keepLines w:val="0"/>
        <w:pageBreakBefore w:val="0"/>
        <w:widowControl w:val="0"/>
        <w:kinsoku/>
        <w:wordWrap/>
        <w:overflowPunct/>
        <w:topLinePunct w:val="0"/>
        <w:autoSpaceDE/>
        <w:autoSpaceDN/>
        <w:bidi w:val="0"/>
        <w:adjustRightInd/>
        <w:snapToGrid/>
        <w:spacing w:line="560" w:lineRule="exact"/>
        <w:ind w:firstLine="600"/>
        <w:textAlignment w:val="auto"/>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（2）</w:t>
      </w:r>
      <w:r>
        <w:rPr>
          <w:rFonts w:hint="eastAsia" w:ascii="方正仿宋_GB2312" w:hAnsi="方正仿宋_GB2312" w:eastAsia="方正仿宋_GB2312" w:cs="方正仿宋_GB2312"/>
          <w:color w:val="000000"/>
          <w:kern w:val="2"/>
          <w:sz w:val="32"/>
          <w:szCs w:val="32"/>
          <w:highlight w:val="none"/>
          <w:lang w:val="en-US" w:eastAsia="zh-CN" w:bidi="ar-SA"/>
        </w:rPr>
        <w:t>稳步提高保障水平</w:t>
      </w:r>
      <w:r>
        <w:rPr>
          <w:rFonts w:hint="eastAsia" w:ascii="方正仿宋_GB2312" w:hAnsi="方正仿宋_GB2312" w:eastAsia="方正仿宋_GB2312" w:cs="方正仿宋_GB2312"/>
          <w:sz w:val="32"/>
          <w:szCs w:val="32"/>
          <w:highlight w:val="none"/>
        </w:rPr>
        <w:t>；</w:t>
      </w:r>
    </w:p>
    <w:p>
      <w:pPr>
        <w:pStyle w:val="4"/>
        <w:keepNext w:val="0"/>
        <w:keepLines w:val="0"/>
        <w:pageBreakBefore w:val="0"/>
        <w:widowControl w:val="0"/>
        <w:kinsoku/>
        <w:wordWrap/>
        <w:overflowPunct/>
        <w:topLinePunct w:val="0"/>
        <w:autoSpaceDE/>
        <w:autoSpaceDN/>
        <w:bidi w:val="0"/>
        <w:adjustRightInd/>
        <w:snapToGrid/>
        <w:spacing w:line="560" w:lineRule="exact"/>
        <w:ind w:firstLine="600"/>
        <w:textAlignment w:val="auto"/>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（3）</w:t>
      </w:r>
      <w:r>
        <w:rPr>
          <w:rFonts w:hint="eastAsia" w:ascii="方正仿宋_GB2312" w:hAnsi="方正仿宋_GB2312" w:eastAsia="方正仿宋_GB2312" w:cs="方正仿宋_GB2312"/>
          <w:color w:val="000000"/>
          <w:sz w:val="32"/>
          <w:szCs w:val="32"/>
          <w:highlight w:val="none"/>
          <w:lang w:val="en-US" w:eastAsia="zh-CN"/>
        </w:rPr>
        <w:t>实现基金收支平衡。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2.具体绩效目标</w:t>
      </w:r>
    </w:p>
    <w:tbl>
      <w:tblPr>
        <w:tblStyle w:val="13"/>
        <w:tblW w:w="8800" w:type="dxa"/>
        <w:tblInd w:w="0" w:type="dxa"/>
        <w:tblLayout w:type="fixed"/>
        <w:tblCellMar>
          <w:top w:w="0" w:type="dxa"/>
          <w:left w:w="0" w:type="dxa"/>
          <w:bottom w:w="0" w:type="dxa"/>
          <w:right w:w="0" w:type="dxa"/>
        </w:tblCellMar>
      </w:tblPr>
      <w:tblGrid>
        <w:gridCol w:w="581"/>
        <w:gridCol w:w="663"/>
        <w:gridCol w:w="940"/>
        <w:gridCol w:w="4454"/>
        <w:gridCol w:w="2162"/>
      </w:tblGrid>
      <w:tr>
        <w:tblPrEx>
          <w:tblCellMar>
            <w:top w:w="0" w:type="dxa"/>
            <w:left w:w="0" w:type="dxa"/>
            <w:bottom w:w="0" w:type="dxa"/>
            <w:right w:w="0" w:type="dxa"/>
          </w:tblCellMar>
        </w:tblPrEx>
        <w:trPr>
          <w:trHeight w:val="318" w:hRule="atLeast"/>
        </w:trPr>
        <w:tc>
          <w:tcPr>
            <w:tcW w:w="581"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lang w:bidi="ar"/>
              </w:rPr>
              <w:t>绩效指标</w:t>
            </w: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lang w:bidi="ar"/>
              </w:rPr>
              <w:t>一级</w:t>
            </w:r>
            <w:r>
              <w:rPr>
                <w:rFonts w:hint="eastAsia" w:ascii="宋体" w:hAnsi="宋体" w:eastAsia="宋体" w:cs="宋体"/>
                <w:color w:val="000000"/>
                <w:kern w:val="0"/>
                <w:sz w:val="18"/>
                <w:szCs w:val="18"/>
                <w:highlight w:val="none"/>
                <w:lang w:bidi="ar"/>
              </w:rPr>
              <w:br w:type="textWrapping"/>
            </w:r>
            <w:r>
              <w:rPr>
                <w:rFonts w:hint="eastAsia" w:ascii="宋体" w:hAnsi="宋体" w:eastAsia="宋体" w:cs="宋体"/>
                <w:color w:val="000000"/>
                <w:kern w:val="0"/>
                <w:sz w:val="18"/>
                <w:szCs w:val="18"/>
                <w:highlight w:val="none"/>
                <w:lang w:bidi="ar"/>
              </w:rPr>
              <w:t>指标</w:t>
            </w:r>
          </w:p>
        </w:tc>
        <w:tc>
          <w:tcPr>
            <w:tcW w:w="9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lang w:bidi="ar"/>
              </w:rPr>
              <w:t>二级指标</w:t>
            </w:r>
          </w:p>
        </w:tc>
        <w:tc>
          <w:tcPr>
            <w:tcW w:w="4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lang w:bidi="ar"/>
              </w:rPr>
              <w:t>三级指标</w:t>
            </w:r>
          </w:p>
        </w:tc>
        <w:tc>
          <w:tcPr>
            <w:tcW w:w="21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lang w:bidi="ar"/>
              </w:rPr>
              <w:t>年度指标值</w:t>
            </w:r>
          </w:p>
        </w:tc>
      </w:tr>
      <w:tr>
        <w:tblPrEx>
          <w:tblCellMar>
            <w:top w:w="0" w:type="dxa"/>
            <w:left w:w="0" w:type="dxa"/>
            <w:bottom w:w="0" w:type="dxa"/>
            <w:right w:w="0" w:type="dxa"/>
          </w:tblCellMar>
        </w:tblPrEx>
        <w:trPr>
          <w:trHeight w:val="167" w:hRule="atLeast"/>
        </w:trPr>
        <w:tc>
          <w:tcPr>
            <w:tcW w:w="581" w:type="dxa"/>
            <w:vMerge w:val="continue"/>
            <w:tcBorders>
              <w:left w:val="single" w:color="000000" w:sz="4" w:space="0"/>
              <w:right w:val="single" w:color="000000" w:sz="4" w:space="0"/>
            </w:tcBorders>
            <w:shd w:val="clear" w:color="auto" w:fill="auto"/>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p>
        </w:tc>
        <w:tc>
          <w:tcPr>
            <w:tcW w:w="66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lang w:bidi="ar"/>
              </w:rPr>
              <w:t>产</w:t>
            </w:r>
            <w:r>
              <w:rPr>
                <w:rFonts w:hint="eastAsia" w:ascii="宋体" w:hAnsi="宋体" w:eastAsia="宋体" w:cs="宋体"/>
                <w:color w:val="000000"/>
                <w:kern w:val="0"/>
                <w:sz w:val="18"/>
                <w:szCs w:val="18"/>
                <w:highlight w:val="none"/>
                <w:lang w:bidi="ar"/>
              </w:rPr>
              <w:br w:type="textWrapping"/>
            </w:r>
            <w:r>
              <w:rPr>
                <w:rFonts w:hint="eastAsia" w:ascii="宋体" w:hAnsi="宋体" w:eastAsia="宋体" w:cs="宋体"/>
                <w:color w:val="000000"/>
                <w:kern w:val="0"/>
                <w:sz w:val="18"/>
                <w:szCs w:val="18"/>
                <w:highlight w:val="none"/>
                <w:lang w:bidi="ar"/>
              </w:rPr>
              <w:t>出</w:t>
            </w:r>
            <w:r>
              <w:rPr>
                <w:rFonts w:hint="eastAsia" w:ascii="宋体" w:hAnsi="宋体" w:eastAsia="宋体" w:cs="宋体"/>
                <w:color w:val="000000"/>
                <w:kern w:val="0"/>
                <w:sz w:val="18"/>
                <w:szCs w:val="18"/>
                <w:highlight w:val="none"/>
                <w:lang w:bidi="ar"/>
              </w:rPr>
              <w:br w:type="textWrapping"/>
            </w:r>
            <w:r>
              <w:rPr>
                <w:rFonts w:hint="eastAsia" w:ascii="宋体" w:hAnsi="宋体" w:eastAsia="宋体" w:cs="宋体"/>
                <w:color w:val="000000"/>
                <w:kern w:val="0"/>
                <w:sz w:val="18"/>
                <w:szCs w:val="18"/>
                <w:highlight w:val="none"/>
                <w:lang w:bidi="ar"/>
              </w:rPr>
              <w:t>指</w:t>
            </w:r>
            <w:r>
              <w:rPr>
                <w:rFonts w:hint="eastAsia" w:ascii="宋体" w:hAnsi="宋体" w:eastAsia="宋体" w:cs="宋体"/>
                <w:color w:val="000000"/>
                <w:kern w:val="0"/>
                <w:sz w:val="18"/>
                <w:szCs w:val="18"/>
                <w:highlight w:val="none"/>
                <w:lang w:bidi="ar"/>
              </w:rPr>
              <w:br w:type="textWrapping"/>
            </w:r>
            <w:r>
              <w:rPr>
                <w:rFonts w:hint="eastAsia" w:ascii="宋体" w:hAnsi="宋体" w:eastAsia="宋体" w:cs="宋体"/>
                <w:color w:val="000000"/>
                <w:kern w:val="0"/>
                <w:sz w:val="18"/>
                <w:szCs w:val="18"/>
                <w:highlight w:val="none"/>
                <w:lang w:bidi="ar"/>
              </w:rPr>
              <w:t>标</w:t>
            </w:r>
          </w:p>
        </w:tc>
        <w:tc>
          <w:tcPr>
            <w:tcW w:w="94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lang w:bidi="ar"/>
              </w:rPr>
              <w:t>数量指标</w:t>
            </w:r>
          </w:p>
        </w:tc>
        <w:tc>
          <w:tcPr>
            <w:tcW w:w="4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参保人数（人）</w:t>
            </w:r>
          </w:p>
        </w:tc>
        <w:tc>
          <w:tcPr>
            <w:tcW w:w="21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≥15</w:t>
            </w:r>
            <w:r>
              <w:rPr>
                <w:rFonts w:hint="eastAsia" w:ascii="宋体" w:hAnsi="宋体" w:eastAsia="宋体" w:cs="宋体"/>
                <w:color w:val="000000"/>
                <w:sz w:val="18"/>
                <w:szCs w:val="18"/>
                <w:highlight w:val="none"/>
                <w:lang w:val="en-US" w:eastAsia="zh-CN"/>
              </w:rPr>
              <w:t>60</w:t>
            </w:r>
            <w:r>
              <w:rPr>
                <w:rFonts w:hint="eastAsia" w:ascii="宋体" w:hAnsi="宋体" w:eastAsia="宋体" w:cs="宋体"/>
                <w:color w:val="000000"/>
                <w:sz w:val="18"/>
                <w:szCs w:val="18"/>
                <w:highlight w:val="none"/>
              </w:rPr>
              <w:t>万人</w:t>
            </w:r>
          </w:p>
        </w:tc>
      </w:tr>
      <w:tr>
        <w:tblPrEx>
          <w:tblCellMar>
            <w:top w:w="0" w:type="dxa"/>
            <w:left w:w="0" w:type="dxa"/>
            <w:bottom w:w="0" w:type="dxa"/>
            <w:right w:w="0" w:type="dxa"/>
          </w:tblCellMar>
        </w:tblPrEx>
        <w:trPr>
          <w:trHeight w:val="167" w:hRule="atLeast"/>
        </w:trPr>
        <w:tc>
          <w:tcPr>
            <w:tcW w:w="581" w:type="dxa"/>
            <w:vMerge w:val="continue"/>
            <w:tcBorders>
              <w:left w:val="single" w:color="000000" w:sz="4" w:space="0"/>
              <w:right w:val="single" w:color="000000" w:sz="4" w:space="0"/>
            </w:tcBorders>
            <w:shd w:val="clear" w:color="auto" w:fill="auto"/>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p>
        </w:tc>
        <w:tc>
          <w:tcPr>
            <w:tcW w:w="66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宋体" w:hAnsi="宋体" w:eastAsia="宋体" w:cs="宋体"/>
                <w:color w:val="000000"/>
                <w:kern w:val="0"/>
                <w:sz w:val="18"/>
                <w:szCs w:val="18"/>
                <w:highlight w:val="none"/>
                <w:lang w:bidi="ar"/>
              </w:rPr>
            </w:pPr>
          </w:p>
        </w:tc>
        <w:tc>
          <w:tcPr>
            <w:tcW w:w="94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宋体" w:hAnsi="宋体" w:eastAsia="宋体" w:cs="宋体"/>
                <w:color w:val="000000"/>
                <w:kern w:val="0"/>
                <w:sz w:val="18"/>
                <w:szCs w:val="18"/>
                <w:highlight w:val="none"/>
                <w:lang w:bidi="ar"/>
              </w:rPr>
            </w:pPr>
          </w:p>
        </w:tc>
        <w:tc>
          <w:tcPr>
            <w:tcW w:w="4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各级财政实际补助标准（元）。</w:t>
            </w:r>
          </w:p>
        </w:tc>
        <w:tc>
          <w:tcPr>
            <w:tcW w:w="21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宋体" w:hAnsi="宋体" w:eastAsia="宋体" w:cs="宋体"/>
                <w:color w:val="000000"/>
                <w:kern w:val="0"/>
                <w:sz w:val="18"/>
                <w:szCs w:val="18"/>
                <w:highlight w:val="none"/>
                <w:lang w:bidi="ar"/>
              </w:rPr>
            </w:pPr>
            <w:r>
              <w:rPr>
                <w:rFonts w:hint="eastAsia" w:ascii="宋体" w:hAnsi="宋体" w:eastAsia="宋体" w:cs="宋体"/>
                <w:color w:val="000000"/>
                <w:kern w:val="0"/>
                <w:sz w:val="18"/>
                <w:szCs w:val="18"/>
                <w:highlight w:val="none"/>
                <w:lang w:bidi="ar"/>
              </w:rPr>
              <w:t>≥</w:t>
            </w:r>
            <w:r>
              <w:rPr>
                <w:rFonts w:hint="eastAsia" w:ascii="宋体" w:hAnsi="宋体" w:eastAsia="宋体" w:cs="宋体"/>
                <w:color w:val="000000"/>
                <w:kern w:val="0"/>
                <w:sz w:val="18"/>
                <w:szCs w:val="18"/>
                <w:highlight w:val="none"/>
                <w:lang w:val="en-US" w:eastAsia="zh-CN" w:bidi="ar"/>
              </w:rPr>
              <w:t>610</w:t>
            </w:r>
            <w:r>
              <w:rPr>
                <w:rFonts w:hint="eastAsia" w:ascii="宋体" w:hAnsi="宋体" w:eastAsia="宋体" w:cs="宋体"/>
                <w:color w:val="000000"/>
                <w:kern w:val="0"/>
                <w:sz w:val="18"/>
                <w:szCs w:val="18"/>
                <w:highlight w:val="none"/>
                <w:lang w:bidi="ar"/>
              </w:rPr>
              <w:t>元/人</w:t>
            </w:r>
          </w:p>
        </w:tc>
      </w:tr>
      <w:tr>
        <w:tblPrEx>
          <w:tblCellMar>
            <w:top w:w="0" w:type="dxa"/>
            <w:left w:w="0" w:type="dxa"/>
            <w:bottom w:w="0" w:type="dxa"/>
            <w:right w:w="0" w:type="dxa"/>
          </w:tblCellMar>
        </w:tblPrEx>
        <w:trPr>
          <w:trHeight w:val="167" w:hRule="atLeast"/>
        </w:trPr>
        <w:tc>
          <w:tcPr>
            <w:tcW w:w="581" w:type="dxa"/>
            <w:vMerge w:val="continue"/>
            <w:tcBorders>
              <w:left w:val="single" w:color="000000" w:sz="4" w:space="0"/>
              <w:right w:val="single" w:color="000000" w:sz="4" w:space="0"/>
            </w:tcBorders>
            <w:shd w:val="clear" w:color="auto" w:fill="auto"/>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p>
        </w:tc>
        <w:tc>
          <w:tcPr>
            <w:tcW w:w="66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宋体" w:hAnsi="宋体" w:eastAsia="宋体" w:cs="宋体"/>
                <w:color w:val="000000"/>
                <w:kern w:val="0"/>
                <w:sz w:val="18"/>
                <w:szCs w:val="18"/>
                <w:highlight w:val="none"/>
                <w:lang w:bidi="ar"/>
              </w:rPr>
            </w:pPr>
          </w:p>
        </w:tc>
        <w:tc>
          <w:tcPr>
            <w:tcW w:w="94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宋体" w:hAnsi="宋体" w:eastAsia="宋体" w:cs="宋体"/>
                <w:color w:val="000000"/>
                <w:kern w:val="0"/>
                <w:sz w:val="18"/>
                <w:szCs w:val="18"/>
                <w:highlight w:val="none"/>
                <w:lang w:bidi="ar"/>
              </w:rPr>
            </w:pPr>
          </w:p>
        </w:tc>
        <w:tc>
          <w:tcPr>
            <w:tcW w:w="4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个人缴费标准（元）</w:t>
            </w:r>
          </w:p>
        </w:tc>
        <w:tc>
          <w:tcPr>
            <w:tcW w:w="21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宋体" w:hAnsi="宋体" w:eastAsia="宋体" w:cs="宋体"/>
                <w:color w:val="000000"/>
                <w:kern w:val="0"/>
                <w:sz w:val="18"/>
                <w:szCs w:val="18"/>
                <w:highlight w:val="none"/>
                <w:lang w:bidi="ar"/>
              </w:rPr>
            </w:pPr>
            <w:r>
              <w:rPr>
                <w:rFonts w:hint="eastAsia" w:ascii="宋体" w:hAnsi="宋体" w:eastAsia="宋体" w:cs="宋体"/>
                <w:color w:val="000000"/>
                <w:kern w:val="0"/>
                <w:sz w:val="18"/>
                <w:szCs w:val="18"/>
                <w:highlight w:val="none"/>
                <w:lang w:bidi="ar"/>
              </w:rPr>
              <w:t>≥</w:t>
            </w:r>
            <w:r>
              <w:rPr>
                <w:rFonts w:hint="eastAsia" w:ascii="宋体" w:hAnsi="宋体" w:eastAsia="宋体" w:cs="宋体"/>
                <w:color w:val="000000"/>
                <w:kern w:val="0"/>
                <w:sz w:val="18"/>
                <w:szCs w:val="18"/>
                <w:highlight w:val="none"/>
                <w:lang w:val="en-US" w:eastAsia="zh-CN" w:bidi="ar"/>
              </w:rPr>
              <w:t>360</w:t>
            </w:r>
            <w:r>
              <w:rPr>
                <w:rFonts w:hint="eastAsia" w:ascii="宋体" w:hAnsi="宋体" w:eastAsia="宋体" w:cs="宋体"/>
                <w:color w:val="000000"/>
                <w:kern w:val="0"/>
                <w:sz w:val="18"/>
                <w:szCs w:val="18"/>
                <w:highlight w:val="none"/>
                <w:lang w:bidi="ar"/>
              </w:rPr>
              <w:t>元/人</w:t>
            </w:r>
          </w:p>
        </w:tc>
      </w:tr>
      <w:tr>
        <w:tblPrEx>
          <w:tblCellMar>
            <w:top w:w="0" w:type="dxa"/>
            <w:left w:w="0" w:type="dxa"/>
            <w:bottom w:w="0" w:type="dxa"/>
            <w:right w:w="0" w:type="dxa"/>
          </w:tblCellMar>
        </w:tblPrEx>
        <w:trPr>
          <w:trHeight w:val="318" w:hRule="atLeast"/>
        </w:trPr>
        <w:tc>
          <w:tcPr>
            <w:tcW w:w="581" w:type="dxa"/>
            <w:vMerge w:val="continue"/>
            <w:tcBorders>
              <w:left w:val="single" w:color="000000" w:sz="4" w:space="0"/>
              <w:right w:val="single" w:color="000000" w:sz="4" w:space="0"/>
            </w:tcBorders>
            <w:shd w:val="clear" w:color="auto" w:fill="auto"/>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p>
        </w:tc>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p>
        </w:tc>
        <w:tc>
          <w:tcPr>
            <w:tcW w:w="94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lang w:bidi="ar"/>
              </w:rPr>
              <w:t>质量指标</w:t>
            </w:r>
          </w:p>
        </w:tc>
        <w:tc>
          <w:tcPr>
            <w:tcW w:w="4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以户籍人口数为基数计算的基本医保综合参保率（%）</w:t>
            </w:r>
          </w:p>
        </w:tc>
        <w:tc>
          <w:tcPr>
            <w:tcW w:w="21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lang w:val="en-US" w:eastAsia="zh-CN"/>
              </w:rPr>
              <w:t>≥95%</w:t>
            </w:r>
          </w:p>
        </w:tc>
      </w:tr>
      <w:tr>
        <w:tblPrEx>
          <w:tblCellMar>
            <w:top w:w="0" w:type="dxa"/>
            <w:left w:w="0" w:type="dxa"/>
            <w:bottom w:w="0" w:type="dxa"/>
            <w:right w:w="0" w:type="dxa"/>
          </w:tblCellMar>
        </w:tblPrEx>
        <w:trPr>
          <w:trHeight w:val="318" w:hRule="atLeast"/>
        </w:trPr>
        <w:tc>
          <w:tcPr>
            <w:tcW w:w="581" w:type="dxa"/>
            <w:vMerge w:val="continue"/>
            <w:tcBorders>
              <w:left w:val="single" w:color="000000" w:sz="4" w:space="0"/>
              <w:right w:val="single" w:color="000000" w:sz="4" w:space="0"/>
            </w:tcBorders>
            <w:shd w:val="clear" w:color="auto" w:fill="auto"/>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p>
        </w:tc>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p>
        </w:tc>
        <w:tc>
          <w:tcPr>
            <w:tcW w:w="94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p>
        </w:tc>
        <w:tc>
          <w:tcPr>
            <w:tcW w:w="4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以常住人口数为基数计算的基本参保综合参保率（%）</w:t>
            </w:r>
          </w:p>
        </w:tc>
        <w:tc>
          <w:tcPr>
            <w:tcW w:w="21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≥90%</w:t>
            </w:r>
          </w:p>
        </w:tc>
      </w:tr>
      <w:tr>
        <w:tblPrEx>
          <w:tblCellMar>
            <w:top w:w="0" w:type="dxa"/>
            <w:left w:w="0" w:type="dxa"/>
            <w:bottom w:w="0" w:type="dxa"/>
            <w:right w:w="0" w:type="dxa"/>
          </w:tblCellMar>
        </w:tblPrEx>
        <w:trPr>
          <w:trHeight w:val="167" w:hRule="atLeast"/>
        </w:trPr>
        <w:tc>
          <w:tcPr>
            <w:tcW w:w="581" w:type="dxa"/>
            <w:vMerge w:val="continue"/>
            <w:tcBorders>
              <w:left w:val="single" w:color="000000" w:sz="4" w:space="0"/>
              <w:right w:val="single" w:color="000000" w:sz="4" w:space="0"/>
            </w:tcBorders>
            <w:shd w:val="clear" w:color="auto" w:fill="auto"/>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p>
        </w:tc>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p>
        </w:tc>
        <w:tc>
          <w:tcPr>
            <w:tcW w:w="94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p>
        </w:tc>
        <w:tc>
          <w:tcPr>
            <w:tcW w:w="4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重复参保人数(人)</w:t>
            </w:r>
          </w:p>
        </w:tc>
        <w:tc>
          <w:tcPr>
            <w:tcW w:w="21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lang w:val="en-US" w:eastAsia="zh-CN"/>
              </w:rPr>
              <w:t>0</w:t>
            </w:r>
          </w:p>
        </w:tc>
      </w:tr>
      <w:tr>
        <w:tblPrEx>
          <w:tblCellMar>
            <w:top w:w="0" w:type="dxa"/>
            <w:left w:w="0" w:type="dxa"/>
            <w:bottom w:w="0" w:type="dxa"/>
            <w:right w:w="0" w:type="dxa"/>
          </w:tblCellMar>
        </w:tblPrEx>
        <w:trPr>
          <w:trHeight w:val="167" w:hRule="atLeast"/>
        </w:trPr>
        <w:tc>
          <w:tcPr>
            <w:tcW w:w="581" w:type="dxa"/>
            <w:vMerge w:val="continue"/>
            <w:tcBorders>
              <w:left w:val="single" w:color="000000" w:sz="4" w:space="0"/>
              <w:right w:val="single" w:color="000000" w:sz="4" w:space="0"/>
            </w:tcBorders>
            <w:shd w:val="clear" w:color="auto" w:fill="auto"/>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p>
        </w:tc>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p>
        </w:tc>
        <w:tc>
          <w:tcPr>
            <w:tcW w:w="94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p>
        </w:tc>
        <w:tc>
          <w:tcPr>
            <w:tcW w:w="4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虚报参保人数（人）</w:t>
            </w:r>
          </w:p>
        </w:tc>
        <w:tc>
          <w:tcPr>
            <w:tcW w:w="21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lang w:val="en-US" w:eastAsia="zh-CN"/>
              </w:rPr>
              <w:t>0</w:t>
            </w:r>
          </w:p>
        </w:tc>
      </w:tr>
      <w:tr>
        <w:tblPrEx>
          <w:tblCellMar>
            <w:top w:w="0" w:type="dxa"/>
            <w:left w:w="0" w:type="dxa"/>
            <w:bottom w:w="0" w:type="dxa"/>
            <w:right w:w="0" w:type="dxa"/>
          </w:tblCellMar>
        </w:tblPrEx>
        <w:trPr>
          <w:trHeight w:val="167" w:hRule="atLeast"/>
        </w:trPr>
        <w:tc>
          <w:tcPr>
            <w:tcW w:w="581" w:type="dxa"/>
            <w:vMerge w:val="continue"/>
            <w:tcBorders>
              <w:left w:val="single" w:color="000000" w:sz="4" w:space="0"/>
              <w:right w:val="single" w:color="000000" w:sz="4" w:space="0"/>
            </w:tcBorders>
            <w:shd w:val="clear" w:color="auto" w:fill="auto"/>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p>
        </w:tc>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p>
        </w:tc>
        <w:tc>
          <w:tcPr>
            <w:tcW w:w="94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p>
        </w:tc>
        <w:tc>
          <w:tcPr>
            <w:tcW w:w="4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参保人政策范围内住院费用报销比例</w:t>
            </w:r>
          </w:p>
        </w:tc>
        <w:tc>
          <w:tcPr>
            <w:tcW w:w="21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lang w:val="en-US" w:eastAsia="zh-CN"/>
              </w:rPr>
              <w:t>≥68%</w:t>
            </w:r>
          </w:p>
        </w:tc>
      </w:tr>
      <w:tr>
        <w:tblPrEx>
          <w:tblCellMar>
            <w:top w:w="0" w:type="dxa"/>
            <w:left w:w="0" w:type="dxa"/>
            <w:bottom w:w="0" w:type="dxa"/>
            <w:right w:w="0" w:type="dxa"/>
          </w:tblCellMar>
        </w:tblPrEx>
        <w:trPr>
          <w:trHeight w:val="167" w:hRule="atLeast"/>
        </w:trPr>
        <w:tc>
          <w:tcPr>
            <w:tcW w:w="581" w:type="dxa"/>
            <w:vMerge w:val="continue"/>
            <w:tcBorders>
              <w:left w:val="single" w:color="000000" w:sz="4" w:space="0"/>
              <w:right w:val="single" w:color="000000" w:sz="4" w:space="0"/>
            </w:tcBorders>
            <w:shd w:val="clear" w:color="auto" w:fill="auto"/>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p>
        </w:tc>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p>
        </w:tc>
        <w:tc>
          <w:tcPr>
            <w:tcW w:w="94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p>
        </w:tc>
        <w:tc>
          <w:tcPr>
            <w:tcW w:w="4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参保人住院费用实际报销比例</w:t>
            </w:r>
          </w:p>
        </w:tc>
        <w:tc>
          <w:tcPr>
            <w:tcW w:w="21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lang w:val="en-US" w:eastAsia="zh-CN"/>
              </w:rPr>
              <w:t>≥60%</w:t>
            </w:r>
          </w:p>
        </w:tc>
      </w:tr>
      <w:tr>
        <w:tblPrEx>
          <w:tblCellMar>
            <w:top w:w="0" w:type="dxa"/>
            <w:left w:w="0" w:type="dxa"/>
            <w:bottom w:w="0" w:type="dxa"/>
            <w:right w:w="0" w:type="dxa"/>
          </w:tblCellMar>
        </w:tblPrEx>
        <w:trPr>
          <w:trHeight w:val="318" w:hRule="atLeast"/>
        </w:trPr>
        <w:tc>
          <w:tcPr>
            <w:tcW w:w="581" w:type="dxa"/>
            <w:vMerge w:val="continue"/>
            <w:tcBorders>
              <w:left w:val="single" w:color="000000" w:sz="4" w:space="0"/>
              <w:right w:val="single" w:color="000000" w:sz="4" w:space="0"/>
            </w:tcBorders>
            <w:shd w:val="clear" w:color="auto" w:fill="auto"/>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p>
        </w:tc>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p>
        </w:tc>
        <w:tc>
          <w:tcPr>
            <w:tcW w:w="94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p>
        </w:tc>
        <w:tc>
          <w:tcPr>
            <w:tcW w:w="4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实施按病种付费为主的多元复合式医保支付方式</w:t>
            </w:r>
          </w:p>
        </w:tc>
        <w:tc>
          <w:tcPr>
            <w:tcW w:w="21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lang w:val="en-US" w:eastAsia="zh-CN"/>
              </w:rPr>
              <w:t>逐步推开</w:t>
            </w:r>
          </w:p>
        </w:tc>
      </w:tr>
      <w:tr>
        <w:tblPrEx>
          <w:tblCellMar>
            <w:top w:w="0" w:type="dxa"/>
            <w:left w:w="0" w:type="dxa"/>
            <w:bottom w:w="0" w:type="dxa"/>
            <w:right w:w="0" w:type="dxa"/>
          </w:tblCellMar>
        </w:tblPrEx>
        <w:trPr>
          <w:trHeight w:val="167" w:hRule="atLeast"/>
        </w:trPr>
        <w:tc>
          <w:tcPr>
            <w:tcW w:w="581" w:type="dxa"/>
            <w:vMerge w:val="continue"/>
            <w:tcBorders>
              <w:left w:val="single" w:color="000000" w:sz="4" w:space="0"/>
              <w:right w:val="single" w:color="000000" w:sz="4" w:space="0"/>
            </w:tcBorders>
            <w:shd w:val="clear" w:color="auto" w:fill="auto"/>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p>
        </w:tc>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p>
        </w:tc>
        <w:tc>
          <w:tcPr>
            <w:tcW w:w="94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p>
        </w:tc>
        <w:tc>
          <w:tcPr>
            <w:tcW w:w="4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基金滚存结余可支配月数（月）</w:t>
            </w:r>
          </w:p>
        </w:tc>
        <w:tc>
          <w:tcPr>
            <w:tcW w:w="21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lang w:val="en-US" w:eastAsia="zh-CN"/>
              </w:rPr>
              <w:t>6-9个月</w:t>
            </w:r>
          </w:p>
        </w:tc>
      </w:tr>
      <w:tr>
        <w:tblPrEx>
          <w:tblCellMar>
            <w:top w:w="0" w:type="dxa"/>
            <w:left w:w="0" w:type="dxa"/>
            <w:bottom w:w="0" w:type="dxa"/>
            <w:right w:w="0" w:type="dxa"/>
          </w:tblCellMar>
        </w:tblPrEx>
        <w:trPr>
          <w:trHeight w:val="318" w:hRule="atLeast"/>
        </w:trPr>
        <w:tc>
          <w:tcPr>
            <w:tcW w:w="581" w:type="dxa"/>
            <w:vMerge w:val="continue"/>
            <w:tcBorders>
              <w:left w:val="single" w:color="000000" w:sz="4" w:space="0"/>
              <w:right w:val="single" w:color="000000" w:sz="4" w:space="0"/>
            </w:tcBorders>
            <w:shd w:val="clear" w:color="auto" w:fill="auto"/>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p>
        </w:tc>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p>
        </w:tc>
        <w:tc>
          <w:tcPr>
            <w:tcW w:w="94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p>
        </w:tc>
        <w:tc>
          <w:tcPr>
            <w:tcW w:w="4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开展门诊统筹，实行个人账户的，向门诊统筹过渡</w:t>
            </w:r>
          </w:p>
        </w:tc>
        <w:tc>
          <w:tcPr>
            <w:tcW w:w="21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lang w:val="en-US" w:eastAsia="zh-CN"/>
              </w:rPr>
              <w:t>普遍开展</w:t>
            </w:r>
          </w:p>
        </w:tc>
      </w:tr>
      <w:tr>
        <w:tblPrEx>
          <w:tblCellMar>
            <w:top w:w="0" w:type="dxa"/>
            <w:left w:w="0" w:type="dxa"/>
            <w:bottom w:w="0" w:type="dxa"/>
            <w:right w:w="0" w:type="dxa"/>
          </w:tblCellMar>
        </w:tblPrEx>
        <w:trPr>
          <w:trHeight w:val="167" w:hRule="atLeast"/>
        </w:trPr>
        <w:tc>
          <w:tcPr>
            <w:tcW w:w="581" w:type="dxa"/>
            <w:vMerge w:val="continue"/>
            <w:tcBorders>
              <w:left w:val="single" w:color="000000" w:sz="4" w:space="0"/>
              <w:right w:val="single" w:color="000000" w:sz="4" w:space="0"/>
            </w:tcBorders>
            <w:shd w:val="clear" w:color="auto" w:fill="auto"/>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p>
        </w:tc>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时效指标</w:t>
            </w:r>
          </w:p>
        </w:tc>
        <w:tc>
          <w:tcPr>
            <w:tcW w:w="4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当年各级财政补助资金到位率(%)</w:t>
            </w:r>
          </w:p>
        </w:tc>
        <w:tc>
          <w:tcPr>
            <w:tcW w:w="21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lang w:val="en-US" w:eastAsia="zh-CN"/>
              </w:rPr>
              <w:t>100%</w:t>
            </w:r>
          </w:p>
        </w:tc>
      </w:tr>
      <w:tr>
        <w:tblPrEx>
          <w:tblCellMar>
            <w:top w:w="0" w:type="dxa"/>
            <w:left w:w="0" w:type="dxa"/>
            <w:bottom w:w="0" w:type="dxa"/>
            <w:right w:w="0" w:type="dxa"/>
          </w:tblCellMar>
        </w:tblPrEx>
        <w:trPr>
          <w:trHeight w:val="318" w:hRule="atLeast"/>
        </w:trPr>
        <w:tc>
          <w:tcPr>
            <w:tcW w:w="581" w:type="dxa"/>
            <w:vMerge w:val="continue"/>
            <w:tcBorders>
              <w:left w:val="single" w:color="000000" w:sz="4" w:space="0"/>
              <w:right w:val="single" w:color="000000" w:sz="4" w:space="0"/>
            </w:tcBorders>
            <w:shd w:val="clear" w:color="auto" w:fill="auto"/>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社会效益指标</w:t>
            </w:r>
          </w:p>
        </w:tc>
        <w:tc>
          <w:tcPr>
            <w:tcW w:w="9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lang w:bidi="ar"/>
              </w:rPr>
              <w:t>可持续影响指标</w:t>
            </w:r>
          </w:p>
        </w:tc>
        <w:tc>
          <w:tcPr>
            <w:tcW w:w="4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减轻参保人员就医经济负担，缓解社会矛盾</w:t>
            </w:r>
          </w:p>
        </w:tc>
        <w:tc>
          <w:tcPr>
            <w:tcW w:w="21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成效明显</w:t>
            </w:r>
          </w:p>
        </w:tc>
      </w:tr>
      <w:tr>
        <w:tblPrEx>
          <w:tblCellMar>
            <w:top w:w="0" w:type="dxa"/>
            <w:left w:w="0" w:type="dxa"/>
            <w:bottom w:w="0" w:type="dxa"/>
            <w:right w:w="0" w:type="dxa"/>
          </w:tblCellMar>
        </w:tblPrEx>
        <w:trPr>
          <w:trHeight w:val="318" w:hRule="atLeast"/>
        </w:trPr>
        <w:tc>
          <w:tcPr>
            <w:tcW w:w="581"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宋体" w:hAnsi="宋体" w:eastAsia="宋体" w:cs="宋体"/>
                <w:color w:val="000000"/>
                <w:kern w:val="2"/>
                <w:sz w:val="18"/>
                <w:szCs w:val="18"/>
                <w:highlight w:val="none"/>
                <w:lang w:val="en-US" w:eastAsia="zh-CN" w:bidi="ar-SA"/>
              </w:rPr>
            </w:pPr>
            <w:r>
              <w:rPr>
                <w:rFonts w:hint="eastAsia" w:ascii="宋体" w:hAnsi="宋体" w:eastAsia="宋体" w:cs="宋体"/>
                <w:color w:val="000000"/>
                <w:kern w:val="0"/>
                <w:sz w:val="18"/>
                <w:szCs w:val="18"/>
                <w:highlight w:val="none"/>
                <w:lang w:bidi="ar"/>
              </w:rPr>
              <w:t>满意度指标</w:t>
            </w:r>
          </w:p>
        </w:tc>
        <w:tc>
          <w:tcPr>
            <w:tcW w:w="9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宋体" w:hAnsi="宋体" w:eastAsia="宋体" w:cs="宋体"/>
                <w:color w:val="000000"/>
                <w:kern w:val="2"/>
                <w:sz w:val="18"/>
                <w:szCs w:val="18"/>
                <w:highlight w:val="none"/>
                <w:lang w:val="en-US" w:eastAsia="zh-CN" w:bidi="ar-SA"/>
              </w:rPr>
            </w:pPr>
            <w:r>
              <w:rPr>
                <w:rFonts w:hint="eastAsia" w:ascii="宋体" w:hAnsi="宋体" w:eastAsia="宋体" w:cs="宋体"/>
                <w:color w:val="000000"/>
                <w:kern w:val="0"/>
                <w:sz w:val="18"/>
                <w:szCs w:val="18"/>
                <w:highlight w:val="none"/>
                <w:lang w:bidi="ar"/>
              </w:rPr>
              <w:t>服务对象</w:t>
            </w:r>
            <w:r>
              <w:rPr>
                <w:rFonts w:hint="eastAsia" w:ascii="宋体" w:hAnsi="宋体" w:eastAsia="宋体" w:cs="宋体"/>
                <w:color w:val="000000"/>
                <w:kern w:val="0"/>
                <w:sz w:val="18"/>
                <w:szCs w:val="18"/>
                <w:highlight w:val="none"/>
                <w:lang w:bidi="ar"/>
              </w:rPr>
              <w:br w:type="textWrapping"/>
            </w:r>
            <w:r>
              <w:rPr>
                <w:rFonts w:hint="eastAsia" w:ascii="宋体" w:hAnsi="宋体" w:eastAsia="宋体" w:cs="宋体"/>
                <w:color w:val="000000"/>
                <w:kern w:val="0"/>
                <w:sz w:val="18"/>
                <w:szCs w:val="18"/>
                <w:highlight w:val="none"/>
                <w:lang w:bidi="ar"/>
              </w:rPr>
              <w:t>满意度指标</w:t>
            </w:r>
          </w:p>
        </w:tc>
        <w:tc>
          <w:tcPr>
            <w:tcW w:w="4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rPr>
              <w:t>参保对象满意度（%）</w:t>
            </w:r>
          </w:p>
        </w:tc>
        <w:tc>
          <w:tcPr>
            <w:tcW w:w="21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≥90% </w:t>
            </w:r>
          </w:p>
        </w:tc>
      </w:tr>
    </w:tbl>
    <w:p>
      <w:pPr>
        <w:pStyle w:val="10"/>
        <w:keepNext w:val="0"/>
        <w:keepLines w:val="0"/>
        <w:widowControl/>
        <w:suppressLineNumbers w:val="0"/>
        <w:spacing w:before="0" w:beforeAutospacing="0" w:after="0" w:afterAutospacing="0"/>
        <w:ind w:left="0" w:right="0" w:firstLine="0"/>
        <w:rPr>
          <w:rFonts w:hint="eastAsia" w:ascii="仿宋_GB2312" w:hAnsi="宋体" w:eastAsia="仿宋_GB2312" w:cs="Times New Roman"/>
          <w:bCs/>
          <w:kern w:val="2"/>
          <w:sz w:val="32"/>
          <w:szCs w:val="32"/>
          <w:highlight w:val="none"/>
          <w:lang w:val="en-US" w:eastAsia="zh-CN" w:bidi="ar-SA"/>
        </w:rPr>
      </w:pPr>
    </w:p>
    <w:p>
      <w:pPr>
        <w:spacing w:line="600" w:lineRule="exact"/>
        <w:ind w:firstLine="640" w:firstLineChars="200"/>
        <w:outlineLvl w:val="0"/>
        <w:rPr>
          <w:rFonts w:eastAsia="黑体"/>
          <w:sz w:val="32"/>
          <w:szCs w:val="32"/>
          <w:highlight w:val="none"/>
        </w:rPr>
      </w:pPr>
      <w:bookmarkStart w:id="3" w:name="_Toc31756"/>
      <w:r>
        <w:rPr>
          <w:rFonts w:eastAsia="黑体"/>
          <w:sz w:val="32"/>
          <w:szCs w:val="32"/>
          <w:highlight w:val="none"/>
        </w:rPr>
        <w:t>二、绩效评价工作开展情况</w:t>
      </w:r>
      <w:bookmarkEnd w:id="3"/>
    </w:p>
    <w:p>
      <w:pPr>
        <w:spacing w:line="600" w:lineRule="exact"/>
        <w:ind w:firstLine="640" w:firstLineChars="200"/>
        <w:outlineLvl w:val="1"/>
        <w:rPr>
          <w:rFonts w:hint="eastAsia" w:ascii="楷体" w:hAnsi="楷体" w:eastAsia="楷体" w:cs="楷体"/>
          <w:sz w:val="32"/>
          <w:szCs w:val="36"/>
          <w:highlight w:val="none"/>
        </w:rPr>
      </w:pPr>
      <w:bookmarkStart w:id="4" w:name="_Toc13305"/>
      <w:r>
        <w:rPr>
          <w:rFonts w:hint="eastAsia" w:ascii="楷体" w:hAnsi="楷体" w:eastAsia="楷体" w:cs="楷体"/>
          <w:sz w:val="32"/>
          <w:szCs w:val="36"/>
          <w:highlight w:val="none"/>
        </w:rPr>
        <w:t>（一）绩效评价目的、对象和范围</w:t>
      </w:r>
      <w:bookmarkEnd w:id="4"/>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1.绩效评价目的</w:t>
      </w:r>
    </w:p>
    <w:p>
      <w:pPr>
        <w:pStyle w:val="4"/>
        <w:keepNext w:val="0"/>
        <w:keepLines w:val="0"/>
        <w:pageBreakBefore w:val="0"/>
        <w:widowControl w:val="0"/>
        <w:kinsoku/>
        <w:wordWrap/>
        <w:overflowPunct/>
        <w:topLinePunct w:val="0"/>
        <w:autoSpaceDE/>
        <w:autoSpaceDN/>
        <w:bidi w:val="0"/>
        <w:spacing w:line="560" w:lineRule="exact"/>
        <w:ind w:firstLine="600"/>
        <w:textAlignment w:val="auto"/>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一是加强预算绩效管理，强化支出责任，提高财政资金使用效益；二是进一步总结和分析财政资金的支出效果，了解、分析、检验资金使用是否达到预期目标，资金管理是否规范，资金使用是否有效，考核财政支出效率和综合效果；三是通过绩效评价，促进项目单位总结经验、发现问题、改进工作，进一步加强项目管理，提高财政资金使用效益。</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2.绩效评价对象</w:t>
      </w:r>
    </w:p>
    <w:p>
      <w:pPr>
        <w:pStyle w:val="4"/>
        <w:keepNext w:val="0"/>
        <w:keepLines w:val="0"/>
        <w:pageBreakBefore w:val="0"/>
        <w:widowControl w:val="0"/>
        <w:kinsoku/>
        <w:wordWrap/>
        <w:overflowPunct/>
        <w:topLinePunct w:val="0"/>
        <w:autoSpaceDE/>
        <w:autoSpaceDN/>
        <w:bidi w:val="0"/>
        <w:spacing w:line="560" w:lineRule="exact"/>
        <w:ind w:firstLine="600"/>
        <w:textAlignment w:val="auto"/>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本次评价的对象为新疆维吾尔自治区城乡居民</w:t>
      </w:r>
      <w:r>
        <w:rPr>
          <w:rFonts w:hint="eastAsia" w:ascii="方正仿宋_GB2312" w:hAnsi="方正仿宋_GB2312" w:eastAsia="方正仿宋_GB2312" w:cs="方正仿宋_GB2312"/>
          <w:sz w:val="32"/>
          <w:szCs w:val="32"/>
          <w:highlight w:val="none"/>
          <w:lang w:val="en-US" w:eastAsia="zh-CN"/>
        </w:rPr>
        <w:t>基本医疗保险财政</w:t>
      </w:r>
      <w:r>
        <w:rPr>
          <w:rFonts w:hint="eastAsia" w:ascii="方正仿宋_GB2312" w:hAnsi="方正仿宋_GB2312" w:eastAsia="方正仿宋_GB2312" w:cs="方正仿宋_GB2312"/>
          <w:sz w:val="32"/>
          <w:szCs w:val="32"/>
          <w:highlight w:val="none"/>
        </w:rPr>
        <w:t>补助资金项目。该项目202</w:t>
      </w:r>
      <w:r>
        <w:rPr>
          <w:rFonts w:hint="eastAsia" w:ascii="方正仿宋_GB2312" w:hAnsi="方正仿宋_GB2312" w:eastAsia="方正仿宋_GB2312" w:cs="方正仿宋_GB2312"/>
          <w:sz w:val="32"/>
          <w:szCs w:val="32"/>
          <w:highlight w:val="none"/>
          <w:lang w:val="en-US" w:eastAsia="zh-CN"/>
        </w:rPr>
        <w:t>2</w:t>
      </w:r>
      <w:r>
        <w:rPr>
          <w:rFonts w:hint="eastAsia" w:ascii="方正仿宋_GB2312" w:hAnsi="方正仿宋_GB2312" w:eastAsia="方正仿宋_GB2312" w:cs="方正仿宋_GB2312"/>
          <w:sz w:val="32"/>
          <w:szCs w:val="32"/>
          <w:highlight w:val="none"/>
        </w:rPr>
        <w:t>年评价金额为</w:t>
      </w:r>
      <w:r>
        <w:rPr>
          <w:rFonts w:hint="eastAsia" w:ascii="方正仿宋_GB2312" w:hAnsi="方正仿宋_GB2312" w:eastAsia="方正仿宋_GB2312" w:cs="方正仿宋_GB2312"/>
          <w:sz w:val="32"/>
          <w:szCs w:val="32"/>
          <w:highlight w:val="none"/>
          <w:lang w:val="en-US" w:eastAsia="zh-CN"/>
        </w:rPr>
        <w:t>989499.55</w:t>
      </w:r>
      <w:r>
        <w:rPr>
          <w:rFonts w:hint="eastAsia" w:ascii="方正仿宋_GB2312" w:hAnsi="方正仿宋_GB2312" w:eastAsia="方正仿宋_GB2312" w:cs="方正仿宋_GB2312"/>
          <w:sz w:val="32"/>
          <w:szCs w:val="32"/>
          <w:highlight w:val="none"/>
        </w:rPr>
        <w:t>万元</w:t>
      </w:r>
      <w:r>
        <w:rPr>
          <w:rFonts w:hint="eastAsia" w:ascii="方正仿宋_GB2312" w:hAnsi="方正仿宋_GB2312" w:eastAsia="方正仿宋_GB2312" w:cs="方正仿宋_GB2312"/>
          <w:sz w:val="32"/>
          <w:szCs w:val="32"/>
          <w:highlight w:val="none"/>
          <w:lang w:eastAsia="zh-CN"/>
        </w:rPr>
        <w:t>，</w:t>
      </w:r>
      <w:r>
        <w:rPr>
          <w:rFonts w:hint="eastAsia" w:ascii="方正仿宋_GB2312" w:hAnsi="方正仿宋_GB2312" w:eastAsia="方正仿宋_GB2312" w:cs="方正仿宋_GB2312"/>
          <w:sz w:val="32"/>
          <w:szCs w:val="32"/>
          <w:highlight w:val="none"/>
          <w:lang w:val="en-US" w:eastAsia="zh-CN"/>
        </w:rPr>
        <w:t>其中中央财政补助资金739522万元，自治区财政补助资金168382万元，市县财政补助资金81595.55万元</w:t>
      </w:r>
      <w:r>
        <w:rPr>
          <w:rFonts w:hint="eastAsia" w:ascii="方正仿宋_GB2312" w:hAnsi="方正仿宋_GB2312" w:eastAsia="方正仿宋_GB2312" w:cs="方正仿宋_GB2312"/>
          <w:sz w:val="32"/>
          <w:szCs w:val="32"/>
          <w:highlight w:val="none"/>
        </w:rPr>
        <w:t>。</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3.绩效评价范围</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该项目评价金额为</w:t>
      </w:r>
      <w:r>
        <w:rPr>
          <w:rFonts w:hint="eastAsia" w:ascii="方正仿宋_GB2312" w:hAnsi="方正仿宋_GB2312" w:eastAsia="方正仿宋_GB2312" w:cs="方正仿宋_GB2312"/>
          <w:sz w:val="32"/>
          <w:szCs w:val="32"/>
          <w:highlight w:val="none"/>
          <w:lang w:val="en-US" w:eastAsia="zh-CN"/>
        </w:rPr>
        <w:t>989499.55</w:t>
      </w:r>
      <w:r>
        <w:rPr>
          <w:rFonts w:hint="eastAsia" w:ascii="方正仿宋_GB2312" w:hAnsi="方正仿宋_GB2312" w:eastAsia="方正仿宋_GB2312" w:cs="方正仿宋_GB2312"/>
          <w:sz w:val="32"/>
          <w:szCs w:val="32"/>
          <w:highlight w:val="none"/>
        </w:rPr>
        <w:t>万元，主要用于</w:t>
      </w:r>
      <w:r>
        <w:rPr>
          <w:rFonts w:hint="eastAsia" w:ascii="方正仿宋_GB2312" w:hAnsi="方正仿宋_GB2312" w:eastAsia="方正仿宋_GB2312" w:cs="方正仿宋_GB2312"/>
          <w:sz w:val="32"/>
          <w:szCs w:val="32"/>
          <w:highlight w:val="none"/>
          <w:lang w:val="en-US" w:eastAsia="zh-CN"/>
        </w:rPr>
        <w:t>城</w:t>
      </w:r>
      <w:r>
        <w:rPr>
          <w:rFonts w:hint="eastAsia" w:ascii="方正仿宋_GB2312" w:hAnsi="方正仿宋_GB2312" w:eastAsia="方正仿宋_GB2312" w:cs="方正仿宋_GB2312"/>
          <w:sz w:val="32"/>
          <w:szCs w:val="32"/>
          <w:highlight w:val="none"/>
        </w:rPr>
        <w:t>乡居民基本医疗保险参保居民缴费给予补助。</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outlineLvl w:val="1"/>
        <w:rPr>
          <w:rFonts w:hint="eastAsia" w:ascii="方正仿宋_GB2312" w:hAnsi="方正仿宋_GB2312" w:eastAsia="方正仿宋_GB2312" w:cs="方正仿宋_GB2312"/>
          <w:sz w:val="32"/>
          <w:szCs w:val="32"/>
          <w:highlight w:val="none"/>
        </w:rPr>
      </w:pPr>
      <w:bookmarkStart w:id="5" w:name="_Toc7968"/>
      <w:r>
        <w:rPr>
          <w:rFonts w:hint="eastAsia" w:ascii="方正仿宋_GB2312" w:hAnsi="方正仿宋_GB2312" w:eastAsia="方正仿宋_GB2312" w:cs="方正仿宋_GB2312"/>
          <w:sz w:val="32"/>
          <w:szCs w:val="32"/>
          <w:highlight w:val="none"/>
        </w:rPr>
        <w:t>（二）绩效评价原则、评价指标体系（附表说明）、评价方法、评价标准等</w:t>
      </w:r>
      <w:bookmarkEnd w:id="5"/>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1.绩效评价原则</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方正仿宋_GB2312" w:hAnsi="方正仿宋_GB2312" w:eastAsia="方正仿宋_GB2312" w:cs="方正仿宋_GB2312"/>
          <w:bCs/>
          <w:sz w:val="32"/>
          <w:szCs w:val="32"/>
          <w:highlight w:val="none"/>
        </w:rPr>
      </w:pPr>
      <w:r>
        <w:rPr>
          <w:rFonts w:hint="eastAsia" w:ascii="方正仿宋_GB2312" w:hAnsi="方正仿宋_GB2312" w:eastAsia="方正仿宋_GB2312" w:cs="方正仿宋_GB2312"/>
          <w:b w:val="0"/>
          <w:bCs/>
          <w:sz w:val="32"/>
          <w:szCs w:val="32"/>
          <w:highlight w:val="none"/>
        </w:rPr>
        <w:t>（一）科学规范。</w:t>
      </w:r>
      <w:r>
        <w:rPr>
          <w:rFonts w:hint="eastAsia" w:ascii="方正仿宋_GB2312" w:hAnsi="方正仿宋_GB2312" w:eastAsia="方正仿宋_GB2312" w:cs="方正仿宋_GB2312"/>
          <w:bCs/>
          <w:sz w:val="32"/>
          <w:szCs w:val="32"/>
          <w:highlight w:val="none"/>
        </w:rPr>
        <w:t>绩效评价应当严格执行规定的程序，按照科学可行的要求，采用定量与定性分析相结合的方法。</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方正仿宋_GB2312" w:hAnsi="方正仿宋_GB2312" w:eastAsia="方正仿宋_GB2312" w:cs="方正仿宋_GB2312"/>
          <w:bCs/>
          <w:sz w:val="32"/>
          <w:szCs w:val="32"/>
          <w:highlight w:val="none"/>
        </w:rPr>
      </w:pPr>
      <w:r>
        <w:rPr>
          <w:rFonts w:hint="eastAsia" w:ascii="方正仿宋_GB2312" w:hAnsi="方正仿宋_GB2312" w:eastAsia="方正仿宋_GB2312" w:cs="方正仿宋_GB2312"/>
          <w:b w:val="0"/>
          <w:bCs/>
          <w:sz w:val="32"/>
          <w:szCs w:val="32"/>
          <w:highlight w:val="none"/>
        </w:rPr>
        <w:t>（二）公正公开。</w:t>
      </w:r>
      <w:r>
        <w:rPr>
          <w:rFonts w:hint="eastAsia" w:ascii="方正仿宋_GB2312" w:hAnsi="方正仿宋_GB2312" w:eastAsia="方正仿宋_GB2312" w:cs="方正仿宋_GB2312"/>
          <w:bCs/>
          <w:sz w:val="32"/>
          <w:szCs w:val="32"/>
          <w:highlight w:val="none"/>
        </w:rPr>
        <w:t>绩效评价应当符合真实、客观、公正的要求，依法公开并接受监督。</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方正仿宋_GB2312" w:hAnsi="方正仿宋_GB2312" w:eastAsia="方正仿宋_GB2312" w:cs="方正仿宋_GB2312"/>
          <w:bCs/>
          <w:sz w:val="32"/>
          <w:szCs w:val="32"/>
          <w:highlight w:val="none"/>
        </w:rPr>
      </w:pPr>
      <w:r>
        <w:rPr>
          <w:rFonts w:hint="eastAsia" w:ascii="方正仿宋_GB2312" w:hAnsi="方正仿宋_GB2312" w:eastAsia="方正仿宋_GB2312" w:cs="方正仿宋_GB2312"/>
          <w:b w:val="0"/>
          <w:bCs/>
          <w:sz w:val="32"/>
          <w:szCs w:val="32"/>
          <w:highlight w:val="none"/>
        </w:rPr>
        <w:t>（三）分级分类。</w:t>
      </w:r>
      <w:r>
        <w:rPr>
          <w:rFonts w:hint="eastAsia" w:ascii="方正仿宋_GB2312" w:hAnsi="方正仿宋_GB2312" w:eastAsia="方正仿宋_GB2312" w:cs="方正仿宋_GB2312"/>
          <w:bCs/>
          <w:sz w:val="32"/>
          <w:szCs w:val="32"/>
          <w:highlight w:val="none"/>
        </w:rPr>
        <w:t>医保转移支付绩效评价由国家和各省（自治区、直辖市）</w:t>
      </w:r>
      <w:r>
        <w:rPr>
          <w:rFonts w:hint="eastAsia" w:ascii="方正仿宋_GB2312" w:hAnsi="方正仿宋_GB2312" w:eastAsia="方正仿宋_GB2312" w:cs="方正仿宋_GB2312"/>
          <w:bCs/>
          <w:sz w:val="32"/>
          <w:szCs w:val="32"/>
          <w:highlight w:val="none"/>
          <w:lang w:eastAsia="zh-CN"/>
        </w:rPr>
        <w:t>、</w:t>
      </w:r>
      <w:r>
        <w:rPr>
          <w:rFonts w:hint="eastAsia" w:ascii="方正仿宋_GB2312" w:hAnsi="方正仿宋_GB2312" w:eastAsia="方正仿宋_GB2312" w:cs="方正仿宋_GB2312"/>
          <w:bCs/>
          <w:sz w:val="32"/>
          <w:szCs w:val="32"/>
          <w:highlight w:val="none"/>
          <w:lang w:val="en-US" w:eastAsia="zh-CN"/>
        </w:rPr>
        <w:t>计划单列市</w:t>
      </w:r>
      <w:r>
        <w:rPr>
          <w:rFonts w:hint="eastAsia" w:ascii="方正仿宋_GB2312" w:hAnsi="方正仿宋_GB2312" w:eastAsia="方正仿宋_GB2312" w:cs="方正仿宋_GB2312"/>
          <w:bCs/>
          <w:sz w:val="32"/>
          <w:szCs w:val="32"/>
          <w:highlight w:val="none"/>
        </w:rPr>
        <w:t>及新疆生产建设兵团医疗保障部门根据评价对象的特点分类组织实施。</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方正仿宋_GB2312" w:hAnsi="方正仿宋_GB2312" w:eastAsia="方正仿宋_GB2312" w:cs="方正仿宋_GB2312"/>
          <w:bCs/>
          <w:sz w:val="32"/>
          <w:szCs w:val="32"/>
          <w:highlight w:val="none"/>
        </w:rPr>
      </w:pPr>
      <w:r>
        <w:rPr>
          <w:rFonts w:hint="eastAsia" w:ascii="方正仿宋_GB2312" w:hAnsi="方正仿宋_GB2312" w:eastAsia="方正仿宋_GB2312" w:cs="方正仿宋_GB2312"/>
          <w:b w:val="0"/>
          <w:bCs/>
          <w:sz w:val="32"/>
          <w:szCs w:val="32"/>
          <w:highlight w:val="none"/>
        </w:rPr>
        <w:t>（四）绩效相关。</w:t>
      </w:r>
      <w:r>
        <w:rPr>
          <w:rFonts w:hint="eastAsia" w:ascii="方正仿宋_GB2312" w:hAnsi="方正仿宋_GB2312" w:eastAsia="方正仿宋_GB2312" w:cs="方正仿宋_GB2312"/>
          <w:bCs/>
          <w:sz w:val="32"/>
          <w:szCs w:val="32"/>
          <w:highlight w:val="none"/>
        </w:rPr>
        <w:t>绩效评价应当针对具体支出及其产出绩效进行，评价结果应当清晰反映支出和产出绩效之间的紧密对应关系。</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方正仿宋_GB2312" w:hAnsi="方正仿宋_GB2312" w:eastAsia="方正仿宋_GB2312" w:cs="方正仿宋_GB2312"/>
          <w:sz w:val="32"/>
          <w:szCs w:val="32"/>
          <w:highlight w:val="none"/>
          <w:lang w:val="en-US" w:eastAsia="zh-CN"/>
        </w:rPr>
      </w:pPr>
      <w:r>
        <w:rPr>
          <w:rFonts w:hint="eastAsia" w:ascii="方正仿宋_GB2312" w:hAnsi="方正仿宋_GB2312" w:eastAsia="方正仿宋_GB2312" w:cs="方正仿宋_GB2312"/>
          <w:sz w:val="32"/>
          <w:szCs w:val="32"/>
          <w:highlight w:val="none"/>
        </w:rPr>
        <w:t>2.评价指标体系</w:t>
      </w:r>
      <w:r>
        <w:rPr>
          <w:rFonts w:hint="eastAsia" w:ascii="方正仿宋_GB2312" w:hAnsi="方正仿宋_GB2312" w:eastAsia="方正仿宋_GB2312" w:cs="方正仿宋_GB2312"/>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根据《国家医疗保障局关于全面开展医保转移支付资金绩效评价工作的通知》（医保函〔2020〕3号），结合医保转移支付资金管理实际，经过研究论证，制定了3类医保转移支付绩效评价指标体系。</w:t>
      </w:r>
      <w:r>
        <w:rPr>
          <w:rFonts w:hint="eastAsia" w:ascii="方正仿宋_GB2312" w:hAnsi="方正仿宋_GB2312" w:eastAsia="方正仿宋_GB2312" w:cs="方正仿宋_GB2312"/>
          <w:b w:val="0"/>
          <w:bCs/>
          <w:sz w:val="32"/>
          <w:szCs w:val="32"/>
          <w:highlight w:val="none"/>
          <w:lang w:val="en-US" w:eastAsia="zh-CN"/>
        </w:rPr>
        <w:t>其中：</w:t>
      </w:r>
      <w:r>
        <w:rPr>
          <w:rFonts w:hint="eastAsia" w:ascii="方正仿宋_GB2312" w:hAnsi="方正仿宋_GB2312" w:eastAsia="方正仿宋_GB2312" w:cs="方正仿宋_GB2312"/>
          <w:b w:val="0"/>
          <w:bCs/>
          <w:sz w:val="32"/>
          <w:szCs w:val="32"/>
          <w:highlight w:val="none"/>
        </w:rPr>
        <w:t>城乡居民基本医疗保险补助资金绩效评价指标体系</w:t>
      </w:r>
      <w:r>
        <w:rPr>
          <w:rFonts w:hint="eastAsia" w:ascii="方正仿宋_GB2312" w:hAnsi="方正仿宋_GB2312" w:eastAsia="方正仿宋_GB2312" w:cs="方正仿宋_GB2312"/>
          <w:sz w:val="32"/>
          <w:szCs w:val="32"/>
          <w:highlight w:val="none"/>
        </w:rPr>
        <w:t>设置一级指标4个、二级指标10个、三级指标</w:t>
      </w:r>
      <w:r>
        <w:rPr>
          <w:rFonts w:hint="eastAsia" w:ascii="方正仿宋_GB2312" w:hAnsi="方正仿宋_GB2312" w:eastAsia="方正仿宋_GB2312" w:cs="方正仿宋_GB2312"/>
          <w:sz w:val="32"/>
          <w:szCs w:val="32"/>
          <w:highlight w:val="none"/>
          <w:lang w:val="en-US" w:eastAsia="zh-CN"/>
        </w:rPr>
        <w:t>27</w:t>
      </w:r>
      <w:r>
        <w:rPr>
          <w:rFonts w:hint="eastAsia" w:ascii="方正仿宋_GB2312" w:hAnsi="方正仿宋_GB2312" w:eastAsia="方正仿宋_GB2312" w:cs="方正仿宋_GB2312"/>
          <w:sz w:val="32"/>
          <w:szCs w:val="32"/>
          <w:highlight w:val="none"/>
        </w:rPr>
        <w:t>个（其中定量指标</w:t>
      </w:r>
      <w:r>
        <w:rPr>
          <w:rFonts w:hint="eastAsia" w:ascii="方正仿宋_GB2312" w:hAnsi="方正仿宋_GB2312" w:eastAsia="方正仿宋_GB2312" w:cs="方正仿宋_GB2312"/>
          <w:sz w:val="32"/>
          <w:szCs w:val="32"/>
          <w:highlight w:val="none"/>
          <w:lang w:val="en-US" w:eastAsia="zh-CN"/>
        </w:rPr>
        <w:t>11</w:t>
      </w:r>
      <w:r>
        <w:rPr>
          <w:rFonts w:hint="eastAsia" w:ascii="方正仿宋_GB2312" w:hAnsi="方正仿宋_GB2312" w:eastAsia="方正仿宋_GB2312" w:cs="方正仿宋_GB2312"/>
          <w:sz w:val="32"/>
          <w:szCs w:val="32"/>
          <w:highlight w:val="none"/>
        </w:rPr>
        <w:t>个、定性指标</w:t>
      </w:r>
      <w:r>
        <w:rPr>
          <w:rFonts w:hint="eastAsia" w:ascii="方正仿宋_GB2312" w:hAnsi="方正仿宋_GB2312" w:eastAsia="方正仿宋_GB2312" w:cs="方正仿宋_GB2312"/>
          <w:sz w:val="32"/>
          <w:szCs w:val="32"/>
          <w:highlight w:val="none"/>
          <w:lang w:val="en-US" w:eastAsia="zh-CN"/>
        </w:rPr>
        <w:t>16</w:t>
      </w:r>
      <w:r>
        <w:rPr>
          <w:rFonts w:hint="eastAsia" w:ascii="方正仿宋_GB2312" w:hAnsi="方正仿宋_GB2312" w:eastAsia="方正仿宋_GB2312" w:cs="方正仿宋_GB2312"/>
          <w:sz w:val="32"/>
          <w:szCs w:val="32"/>
          <w:highlight w:val="none"/>
        </w:rPr>
        <w:t>个）。</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方正仿宋_GB2312" w:hAnsi="方正仿宋_GB2312" w:eastAsia="方正仿宋_GB2312" w:cs="方正仿宋_GB2312"/>
          <w:sz w:val="32"/>
          <w:szCs w:val="32"/>
          <w:highlight w:val="none"/>
          <w:lang w:val="en-US" w:eastAsia="zh-CN"/>
        </w:rPr>
      </w:pPr>
      <w:r>
        <w:rPr>
          <w:rFonts w:hint="eastAsia" w:ascii="方正仿宋_GB2312" w:hAnsi="方正仿宋_GB2312" w:eastAsia="方正仿宋_GB2312" w:cs="方正仿宋_GB2312"/>
          <w:sz w:val="32"/>
          <w:szCs w:val="32"/>
          <w:highlight w:val="none"/>
        </w:rPr>
        <w:t>3.评价方法</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方正仿宋_GB2312" w:hAnsi="方正仿宋_GB2312" w:eastAsia="方正仿宋_GB2312" w:cs="方正仿宋_GB2312"/>
          <w:sz w:val="32"/>
          <w:szCs w:val="32"/>
          <w:highlight w:val="none"/>
          <w:lang w:eastAsia="zh-CN"/>
        </w:rPr>
      </w:pPr>
      <w:r>
        <w:rPr>
          <w:rFonts w:hint="eastAsia" w:ascii="方正仿宋_GB2312" w:hAnsi="方正仿宋_GB2312" w:eastAsia="方正仿宋_GB2312" w:cs="方正仿宋_GB2312"/>
          <w:sz w:val="32"/>
          <w:szCs w:val="32"/>
          <w:highlight w:val="none"/>
        </w:rPr>
        <w:t>根据《自治区财政支出绩效评价管理暂行办法》的通知（新财预〔2018〕189号）和《项目支出绩效评价管理办法》（财预〔2020〕10号），财政和部门评价的方法主要包括成本效益分析法、比较法、因素分析法、最低成本法、综合指数评价法、综合指数评价法、公众评判法、回溯分析法、标杆管理法等其他方法。根据对评价对象的具体情况分析，本次绩效评价</w:t>
      </w:r>
      <w:r>
        <w:rPr>
          <w:rFonts w:hint="eastAsia" w:ascii="方正仿宋_GB2312" w:hAnsi="方正仿宋_GB2312" w:eastAsia="方正仿宋_GB2312" w:cs="方正仿宋_GB2312"/>
          <w:sz w:val="32"/>
          <w:szCs w:val="32"/>
          <w:highlight w:val="none"/>
          <w:lang w:val="en-US" w:eastAsia="zh-CN"/>
        </w:rPr>
        <w:t>我单位</w:t>
      </w:r>
      <w:r>
        <w:rPr>
          <w:rFonts w:hint="eastAsia" w:ascii="方正仿宋_GB2312" w:hAnsi="方正仿宋_GB2312" w:eastAsia="方正仿宋_GB2312" w:cs="方正仿宋_GB2312"/>
          <w:sz w:val="32"/>
          <w:szCs w:val="32"/>
          <w:highlight w:val="none"/>
        </w:rPr>
        <w:t>采用</w:t>
      </w:r>
      <w:r>
        <w:rPr>
          <w:rFonts w:hint="eastAsia" w:ascii="方正仿宋_GB2312" w:hAnsi="方正仿宋_GB2312" w:eastAsia="方正仿宋_GB2312" w:cs="方正仿宋_GB2312"/>
          <w:spacing w:val="8"/>
          <w:sz w:val="32"/>
          <w:szCs w:val="32"/>
          <w:highlight w:val="none"/>
        </w:rPr>
        <w:t>材料核实、选点抽查</w:t>
      </w:r>
      <w:r>
        <w:rPr>
          <w:rFonts w:hint="eastAsia" w:ascii="方正仿宋_GB2312" w:hAnsi="方正仿宋_GB2312" w:eastAsia="方正仿宋_GB2312" w:cs="方正仿宋_GB2312"/>
          <w:spacing w:val="8"/>
          <w:sz w:val="32"/>
          <w:szCs w:val="32"/>
          <w:highlight w:val="none"/>
          <w:lang w:eastAsia="zh-CN"/>
        </w:rPr>
        <w:t>、</w:t>
      </w:r>
      <w:r>
        <w:rPr>
          <w:rFonts w:hint="eastAsia" w:ascii="方正仿宋_GB2312" w:hAnsi="方正仿宋_GB2312" w:eastAsia="方正仿宋_GB2312" w:cs="方正仿宋_GB2312"/>
          <w:spacing w:val="8"/>
          <w:sz w:val="32"/>
          <w:szCs w:val="32"/>
          <w:highlight w:val="none"/>
        </w:rPr>
        <w:t>访谈座谈等方式</w:t>
      </w:r>
      <w:r>
        <w:rPr>
          <w:rFonts w:hint="eastAsia" w:ascii="方正仿宋_GB2312" w:hAnsi="方正仿宋_GB2312" w:eastAsia="方正仿宋_GB2312" w:cs="方正仿宋_GB2312"/>
          <w:spacing w:val="8"/>
          <w:sz w:val="32"/>
          <w:szCs w:val="32"/>
          <w:highlight w:val="none"/>
          <w:lang w:val="en-US" w:eastAsia="zh-CN"/>
        </w:rPr>
        <w:t>相结合</w:t>
      </w:r>
      <w:r>
        <w:rPr>
          <w:rFonts w:hint="eastAsia" w:ascii="方正仿宋_GB2312" w:hAnsi="方正仿宋_GB2312" w:eastAsia="方正仿宋_GB2312" w:cs="方正仿宋_GB2312"/>
          <w:spacing w:val="8"/>
          <w:sz w:val="32"/>
          <w:szCs w:val="32"/>
          <w:highlight w:val="none"/>
        </w:rPr>
        <w:t>，</w:t>
      </w:r>
      <w:r>
        <w:rPr>
          <w:rFonts w:hint="eastAsia" w:ascii="方正仿宋_GB2312" w:hAnsi="方正仿宋_GB2312" w:eastAsia="方正仿宋_GB2312" w:cs="方正仿宋_GB2312"/>
          <w:color w:val="000000"/>
          <w:kern w:val="0"/>
          <w:sz w:val="32"/>
          <w:szCs w:val="32"/>
          <w:highlight w:val="none"/>
          <w:lang w:bidi="ar"/>
        </w:rPr>
        <w:t>对项目绩效目标完成情况、资金使用情况、产出和效益情况等进行定量、定性分析和综合评价</w:t>
      </w:r>
      <w:r>
        <w:rPr>
          <w:rFonts w:hint="eastAsia" w:ascii="方正仿宋_GB2312" w:hAnsi="方正仿宋_GB2312" w:eastAsia="方正仿宋_GB2312" w:cs="方正仿宋_GB2312"/>
          <w:color w:val="000000"/>
          <w:kern w:val="0"/>
          <w:sz w:val="32"/>
          <w:szCs w:val="32"/>
          <w:highlight w:val="none"/>
          <w:lang w:eastAsia="zh-CN" w:bidi="ar"/>
        </w:rPr>
        <w:t>。</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4.评价标准</w:t>
      </w:r>
    </w:p>
    <w:p>
      <w:pPr>
        <w:pStyle w:val="4"/>
        <w:keepNext w:val="0"/>
        <w:keepLines w:val="0"/>
        <w:pageBreakBefore w:val="0"/>
        <w:widowControl w:val="0"/>
        <w:kinsoku/>
        <w:wordWrap/>
        <w:overflowPunct/>
        <w:topLinePunct w:val="0"/>
        <w:autoSpaceDE/>
        <w:autoSpaceDN/>
        <w:bidi w:val="0"/>
        <w:spacing w:line="560" w:lineRule="exact"/>
        <w:ind w:firstLine="600"/>
        <w:textAlignment w:val="auto"/>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绩效评价标准通常包括计划标准、行业标准、历史标准等，用于对绩效指标完成情况进行比较。</w:t>
      </w:r>
    </w:p>
    <w:p>
      <w:pPr>
        <w:pStyle w:val="4"/>
        <w:keepNext w:val="0"/>
        <w:keepLines w:val="0"/>
        <w:pageBreakBefore w:val="0"/>
        <w:widowControl w:val="0"/>
        <w:kinsoku/>
        <w:wordWrap/>
        <w:overflowPunct/>
        <w:topLinePunct w:val="0"/>
        <w:autoSpaceDE/>
        <w:autoSpaceDN/>
        <w:bidi w:val="0"/>
        <w:spacing w:line="560" w:lineRule="exact"/>
        <w:ind w:firstLine="600"/>
        <w:textAlignment w:val="auto"/>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（1）计划标准。指以预先制定的目标、计划、预算、定额等作为评价标准。</w:t>
      </w:r>
    </w:p>
    <w:p>
      <w:pPr>
        <w:pStyle w:val="4"/>
        <w:keepNext w:val="0"/>
        <w:keepLines w:val="0"/>
        <w:pageBreakBefore w:val="0"/>
        <w:widowControl w:val="0"/>
        <w:kinsoku/>
        <w:wordWrap/>
        <w:overflowPunct/>
        <w:topLinePunct w:val="0"/>
        <w:autoSpaceDE/>
        <w:autoSpaceDN/>
        <w:bidi w:val="0"/>
        <w:spacing w:line="560" w:lineRule="exact"/>
        <w:ind w:firstLine="600"/>
        <w:textAlignment w:val="auto"/>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（2）行业标准。指参照国家公布的行业指标数据制定的评价标准。</w:t>
      </w:r>
    </w:p>
    <w:p>
      <w:pPr>
        <w:pStyle w:val="4"/>
        <w:keepNext w:val="0"/>
        <w:keepLines w:val="0"/>
        <w:pageBreakBefore w:val="0"/>
        <w:widowControl w:val="0"/>
        <w:kinsoku/>
        <w:wordWrap/>
        <w:overflowPunct/>
        <w:topLinePunct w:val="0"/>
        <w:autoSpaceDE/>
        <w:autoSpaceDN/>
        <w:bidi w:val="0"/>
        <w:spacing w:line="560" w:lineRule="exact"/>
        <w:ind w:firstLine="600"/>
        <w:textAlignment w:val="auto"/>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（3）历史标准。指参照历史数据制定的评价标准，为体现绩效改进的原则，在可实现的条件下应当确定相对较高的评价标准。</w:t>
      </w:r>
    </w:p>
    <w:p>
      <w:pPr>
        <w:pStyle w:val="4"/>
        <w:keepNext w:val="0"/>
        <w:keepLines w:val="0"/>
        <w:pageBreakBefore w:val="0"/>
        <w:widowControl w:val="0"/>
        <w:kinsoku/>
        <w:wordWrap/>
        <w:overflowPunct/>
        <w:topLinePunct w:val="0"/>
        <w:autoSpaceDE/>
        <w:autoSpaceDN/>
        <w:bidi w:val="0"/>
        <w:spacing w:line="560" w:lineRule="exact"/>
        <w:ind w:firstLine="600"/>
        <w:textAlignment w:val="auto"/>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（4）财政部门和预算部门确认或认可的其他标准。</w:t>
      </w:r>
    </w:p>
    <w:p>
      <w:pPr>
        <w:pStyle w:val="4"/>
        <w:keepNext w:val="0"/>
        <w:keepLines w:val="0"/>
        <w:pageBreakBefore w:val="0"/>
        <w:widowControl w:val="0"/>
        <w:kinsoku/>
        <w:wordWrap/>
        <w:overflowPunct/>
        <w:topLinePunct w:val="0"/>
        <w:autoSpaceDE/>
        <w:autoSpaceDN/>
        <w:bidi w:val="0"/>
        <w:spacing w:line="560" w:lineRule="exact"/>
        <w:ind w:firstLine="600"/>
        <w:textAlignment w:val="auto"/>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本次绩效评价主要采用计划标准（绩效目标）、行业标准（国家对于城乡居民医疗保障补助政策）。</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5.评价结论及等级确定</w:t>
      </w:r>
    </w:p>
    <w:p>
      <w:pPr>
        <w:pStyle w:val="29"/>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评价结果实施百分制和四级分类。四个级别分别是：100-90（含）分为优、90-80（含）分为良、80-60（含）分为中、60分以下为差，如有下列情况之一的为较差：</w:t>
      </w:r>
    </w:p>
    <w:p>
      <w:pPr>
        <w:pStyle w:val="29"/>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（1）在审计、稽查和其他相关检查中发现项目质量、资金管理等方面存在重大问题。</w:t>
      </w:r>
    </w:p>
    <w:p>
      <w:pPr>
        <w:pStyle w:val="29"/>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（2）项目发生安全生产事故或质量事故，或者造成重大经济损失和社会不良影响。</w:t>
      </w:r>
    </w:p>
    <w:p>
      <w:pPr>
        <w:pStyle w:val="29"/>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（3）项目建设进度非因不可抗力因素严重滞后。</w:t>
      </w:r>
    </w:p>
    <w:p>
      <w:pPr>
        <w:pStyle w:val="12"/>
        <w:keepNext w:val="0"/>
        <w:keepLines w:val="0"/>
        <w:pageBreakBefore w:val="0"/>
        <w:widowControl w:val="0"/>
        <w:kinsoku/>
        <w:wordWrap/>
        <w:overflowPunct/>
        <w:topLinePunct w:val="0"/>
        <w:autoSpaceDE/>
        <w:autoSpaceDN/>
        <w:bidi w:val="0"/>
        <w:spacing w:after="0" w:line="560" w:lineRule="exact"/>
        <w:ind w:left="0" w:leftChars="0" w:firstLine="600"/>
        <w:textAlignment w:val="auto"/>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（4）弄虚作假。</w:t>
      </w:r>
    </w:p>
    <w:p>
      <w:pPr>
        <w:keepNext w:val="0"/>
        <w:keepLines w:val="0"/>
        <w:pageBreakBefore w:val="0"/>
        <w:widowControl w:val="0"/>
        <w:numPr>
          <w:ilvl w:val="0"/>
          <w:numId w:val="2"/>
        </w:numPr>
        <w:kinsoku/>
        <w:wordWrap/>
        <w:overflowPunct/>
        <w:topLinePunct w:val="0"/>
        <w:autoSpaceDE/>
        <w:autoSpaceDN/>
        <w:bidi w:val="0"/>
        <w:spacing w:line="560" w:lineRule="exact"/>
        <w:ind w:firstLine="640" w:firstLineChars="200"/>
        <w:textAlignment w:val="auto"/>
        <w:outlineLvl w:val="1"/>
        <w:rPr>
          <w:rFonts w:hint="eastAsia" w:ascii="方正仿宋_GB2312" w:hAnsi="方正仿宋_GB2312" w:eastAsia="方正仿宋_GB2312" w:cs="方正仿宋_GB2312"/>
          <w:sz w:val="32"/>
          <w:szCs w:val="32"/>
          <w:highlight w:val="none"/>
        </w:rPr>
      </w:pPr>
      <w:bookmarkStart w:id="6" w:name="_Toc15760"/>
      <w:r>
        <w:rPr>
          <w:rFonts w:hint="eastAsia" w:ascii="方正仿宋_GB2312" w:hAnsi="方正仿宋_GB2312" w:eastAsia="方正仿宋_GB2312" w:cs="方正仿宋_GB2312"/>
          <w:sz w:val="32"/>
          <w:szCs w:val="32"/>
          <w:highlight w:val="none"/>
        </w:rPr>
        <w:t>绩效评价工作过程</w:t>
      </w:r>
      <w:bookmarkEnd w:id="6"/>
    </w:p>
    <w:p>
      <w:pPr>
        <w:pStyle w:val="4"/>
        <w:keepNext w:val="0"/>
        <w:keepLines w:val="0"/>
        <w:pageBreakBefore w:val="0"/>
        <w:widowControl w:val="0"/>
        <w:kinsoku/>
        <w:wordWrap/>
        <w:overflowPunct/>
        <w:topLinePunct w:val="0"/>
        <w:autoSpaceDE/>
        <w:autoSpaceDN/>
        <w:bidi w:val="0"/>
        <w:spacing w:line="560" w:lineRule="exact"/>
        <w:ind w:firstLine="600"/>
        <w:textAlignment w:val="auto"/>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本次绩效评价工作从202</w:t>
      </w:r>
      <w:r>
        <w:rPr>
          <w:rFonts w:hint="eastAsia" w:ascii="方正仿宋_GB2312" w:hAnsi="方正仿宋_GB2312" w:eastAsia="方正仿宋_GB2312" w:cs="方正仿宋_GB2312"/>
          <w:sz w:val="32"/>
          <w:szCs w:val="32"/>
          <w:highlight w:val="none"/>
          <w:lang w:val="en-US" w:eastAsia="zh-CN"/>
        </w:rPr>
        <w:t>3</w:t>
      </w:r>
      <w:r>
        <w:rPr>
          <w:rFonts w:hint="eastAsia" w:ascii="方正仿宋_GB2312" w:hAnsi="方正仿宋_GB2312" w:eastAsia="方正仿宋_GB2312" w:cs="方正仿宋_GB2312"/>
          <w:sz w:val="32"/>
          <w:szCs w:val="32"/>
          <w:highlight w:val="none"/>
        </w:rPr>
        <w:t>年</w:t>
      </w:r>
      <w:r>
        <w:rPr>
          <w:rFonts w:hint="eastAsia" w:ascii="方正仿宋_GB2312" w:hAnsi="方正仿宋_GB2312" w:eastAsia="方正仿宋_GB2312" w:cs="方正仿宋_GB2312"/>
          <w:sz w:val="32"/>
          <w:szCs w:val="32"/>
          <w:highlight w:val="none"/>
          <w:lang w:val="en-US" w:eastAsia="zh-CN"/>
        </w:rPr>
        <w:t>1</w:t>
      </w:r>
      <w:r>
        <w:rPr>
          <w:rFonts w:hint="eastAsia" w:ascii="方正仿宋_GB2312" w:hAnsi="方正仿宋_GB2312" w:eastAsia="方正仿宋_GB2312" w:cs="方正仿宋_GB2312"/>
          <w:sz w:val="32"/>
          <w:szCs w:val="32"/>
          <w:highlight w:val="none"/>
        </w:rPr>
        <w:t>月</w:t>
      </w:r>
      <w:r>
        <w:rPr>
          <w:rFonts w:hint="eastAsia" w:ascii="方正仿宋_GB2312" w:hAnsi="方正仿宋_GB2312" w:eastAsia="方正仿宋_GB2312" w:cs="方正仿宋_GB2312"/>
          <w:sz w:val="32"/>
          <w:szCs w:val="32"/>
          <w:highlight w:val="none"/>
          <w:lang w:val="en-US" w:eastAsia="zh-CN"/>
        </w:rPr>
        <w:t>9</w:t>
      </w:r>
      <w:r>
        <w:rPr>
          <w:rFonts w:hint="eastAsia" w:ascii="方正仿宋_GB2312" w:hAnsi="方正仿宋_GB2312" w:eastAsia="方正仿宋_GB2312" w:cs="方正仿宋_GB2312"/>
          <w:sz w:val="32"/>
          <w:szCs w:val="32"/>
          <w:highlight w:val="none"/>
        </w:rPr>
        <w:t>日开始，至</w:t>
      </w:r>
      <w:r>
        <w:rPr>
          <w:rFonts w:hint="eastAsia" w:ascii="方正仿宋_GB2312" w:hAnsi="方正仿宋_GB2312" w:eastAsia="方正仿宋_GB2312" w:cs="方正仿宋_GB2312"/>
          <w:sz w:val="32"/>
          <w:szCs w:val="32"/>
          <w:highlight w:val="none"/>
          <w:lang w:val="en-US" w:eastAsia="zh-CN"/>
        </w:rPr>
        <w:t>2</w:t>
      </w:r>
      <w:r>
        <w:rPr>
          <w:rFonts w:hint="eastAsia" w:ascii="方正仿宋_GB2312" w:hAnsi="方正仿宋_GB2312" w:eastAsia="方正仿宋_GB2312" w:cs="方正仿宋_GB2312"/>
          <w:sz w:val="32"/>
          <w:szCs w:val="32"/>
          <w:highlight w:val="none"/>
        </w:rPr>
        <w:t>月</w:t>
      </w:r>
      <w:r>
        <w:rPr>
          <w:rFonts w:hint="eastAsia" w:ascii="方正仿宋_GB2312" w:hAnsi="方正仿宋_GB2312" w:eastAsia="方正仿宋_GB2312" w:cs="方正仿宋_GB2312"/>
          <w:sz w:val="32"/>
          <w:szCs w:val="32"/>
          <w:highlight w:val="none"/>
          <w:lang w:val="en-US" w:eastAsia="zh-CN"/>
        </w:rPr>
        <w:t>3</w:t>
      </w:r>
      <w:r>
        <w:rPr>
          <w:rFonts w:hint="eastAsia" w:ascii="方正仿宋_GB2312" w:hAnsi="方正仿宋_GB2312" w:eastAsia="方正仿宋_GB2312" w:cs="方正仿宋_GB2312"/>
          <w:sz w:val="32"/>
          <w:szCs w:val="32"/>
          <w:highlight w:val="none"/>
        </w:rPr>
        <w:t>日结束，共</w:t>
      </w:r>
      <w:r>
        <w:rPr>
          <w:rFonts w:hint="eastAsia" w:ascii="方正仿宋_GB2312" w:hAnsi="方正仿宋_GB2312" w:eastAsia="方正仿宋_GB2312" w:cs="方正仿宋_GB2312"/>
          <w:sz w:val="32"/>
          <w:szCs w:val="32"/>
          <w:highlight w:val="none"/>
          <w:lang w:val="en-US" w:eastAsia="zh-CN"/>
        </w:rPr>
        <w:t>2</w:t>
      </w:r>
      <w:r>
        <w:rPr>
          <w:rFonts w:hint="eastAsia" w:ascii="方正仿宋_GB2312" w:hAnsi="方正仿宋_GB2312" w:eastAsia="方正仿宋_GB2312" w:cs="方正仿宋_GB2312"/>
          <w:sz w:val="32"/>
          <w:szCs w:val="32"/>
          <w:highlight w:val="none"/>
        </w:rPr>
        <w:t>6天时间，加上前期准备工作，总体分为评价准备、评价实施、总结报告三个阶段。</w:t>
      </w:r>
    </w:p>
    <w:p>
      <w:pPr>
        <w:spacing w:line="600" w:lineRule="exact"/>
        <w:ind w:firstLine="420" w:firstLineChars="200"/>
        <w:outlineLvl w:val="0"/>
        <w:rPr>
          <w:highlight w:val="none"/>
        </w:rPr>
      </w:pPr>
      <w:bookmarkStart w:id="7" w:name="_Toc14466"/>
      <w:r>
        <w:rPr>
          <w:rFonts w:eastAsia="黑体"/>
          <w:highlight w:val="none"/>
        </w:rPr>
        <w:t>三、综合评价情况及评价结论</w:t>
      </w:r>
      <w:r>
        <w:rPr>
          <w:highlight w:val="none"/>
        </w:rPr>
        <w:t>（附相关评分表）</w:t>
      </w:r>
      <w:bookmarkEnd w:id="7"/>
    </w:p>
    <w:p>
      <w:pPr>
        <w:spacing w:line="600" w:lineRule="exact"/>
        <w:ind w:firstLine="400" w:firstLineChars="200"/>
        <w:jc w:val="center"/>
        <w:rPr>
          <w:b/>
          <w:bCs/>
          <w:sz w:val="20"/>
          <w:szCs w:val="20"/>
          <w:highlight w:val="none"/>
        </w:rPr>
      </w:pPr>
      <w:r>
        <w:rPr>
          <w:rFonts w:hint="eastAsia"/>
          <w:b/>
          <w:bCs/>
          <w:sz w:val="20"/>
          <w:szCs w:val="20"/>
          <w:highlight w:val="none"/>
        </w:rPr>
        <w:t>“城乡居民医保补助资金”</w:t>
      </w:r>
      <w:r>
        <w:rPr>
          <w:b/>
          <w:bCs/>
          <w:sz w:val="20"/>
          <w:szCs w:val="20"/>
          <w:highlight w:val="none"/>
        </w:rPr>
        <w:t>项目</w:t>
      </w:r>
      <w:r>
        <w:rPr>
          <w:rFonts w:hint="eastAsia"/>
          <w:b/>
          <w:bCs/>
          <w:sz w:val="20"/>
          <w:szCs w:val="20"/>
          <w:highlight w:val="none"/>
        </w:rPr>
        <w:t>评分表</w:t>
      </w:r>
    </w:p>
    <w:tbl>
      <w:tblPr>
        <w:tblStyle w:val="13"/>
        <w:tblW w:w="7937" w:type="dxa"/>
        <w:jc w:val="center"/>
        <w:tblLayout w:type="fixed"/>
        <w:tblCellMar>
          <w:top w:w="0" w:type="dxa"/>
          <w:left w:w="108" w:type="dxa"/>
          <w:bottom w:w="0" w:type="dxa"/>
          <w:right w:w="108" w:type="dxa"/>
        </w:tblCellMar>
      </w:tblPr>
      <w:tblGrid>
        <w:gridCol w:w="2484"/>
        <w:gridCol w:w="1986"/>
        <w:gridCol w:w="1854"/>
        <w:gridCol w:w="1613"/>
      </w:tblGrid>
      <w:tr>
        <w:tblPrEx>
          <w:tblCellMar>
            <w:top w:w="0" w:type="dxa"/>
            <w:left w:w="108" w:type="dxa"/>
            <w:bottom w:w="0" w:type="dxa"/>
            <w:right w:w="108" w:type="dxa"/>
          </w:tblCellMar>
        </w:tblPrEx>
        <w:trPr>
          <w:trHeight w:val="498" w:hRule="exact"/>
          <w:tblHeader/>
          <w:jc w:val="center"/>
        </w:trPr>
        <w:tc>
          <w:tcPr>
            <w:tcW w:w="2484" w:type="dxa"/>
            <w:tcBorders>
              <w:top w:val="single" w:color="auto" w:sz="8" w:space="0"/>
              <w:left w:val="single" w:color="auto" w:sz="8" w:space="0"/>
              <w:bottom w:val="single" w:color="auto" w:sz="8" w:space="0"/>
              <w:right w:val="single" w:color="auto" w:sz="8" w:space="0"/>
            </w:tcBorders>
            <w:shd w:val="clear" w:color="000000" w:fill="B4C6E7" w:themeFill="accent1" w:themeFillTint="66"/>
            <w:vAlign w:val="center"/>
          </w:tcPr>
          <w:p>
            <w:pPr>
              <w:jc w:val="center"/>
              <w:rPr>
                <w:sz w:val="20"/>
                <w:szCs w:val="20"/>
                <w:highlight w:val="none"/>
              </w:rPr>
            </w:pPr>
            <w:r>
              <w:rPr>
                <w:sz w:val="20"/>
                <w:szCs w:val="20"/>
                <w:highlight w:val="none"/>
              </w:rPr>
              <w:t>一级指标</w:t>
            </w:r>
          </w:p>
        </w:tc>
        <w:tc>
          <w:tcPr>
            <w:tcW w:w="1986" w:type="dxa"/>
            <w:tcBorders>
              <w:top w:val="single" w:color="auto" w:sz="8" w:space="0"/>
              <w:left w:val="nil"/>
              <w:bottom w:val="single" w:color="auto" w:sz="8" w:space="0"/>
              <w:right w:val="single" w:color="auto" w:sz="8" w:space="0"/>
            </w:tcBorders>
            <w:shd w:val="clear" w:color="000000" w:fill="B4C6E7" w:themeFill="accent1" w:themeFillTint="66"/>
            <w:vAlign w:val="center"/>
          </w:tcPr>
          <w:p>
            <w:pPr>
              <w:jc w:val="center"/>
              <w:rPr>
                <w:sz w:val="20"/>
                <w:szCs w:val="20"/>
                <w:highlight w:val="none"/>
              </w:rPr>
            </w:pPr>
            <w:r>
              <w:rPr>
                <w:sz w:val="20"/>
                <w:szCs w:val="20"/>
                <w:highlight w:val="none"/>
              </w:rPr>
              <w:t>权重</w:t>
            </w:r>
          </w:p>
        </w:tc>
        <w:tc>
          <w:tcPr>
            <w:tcW w:w="1854" w:type="dxa"/>
            <w:tcBorders>
              <w:top w:val="single" w:color="auto" w:sz="8" w:space="0"/>
              <w:left w:val="nil"/>
              <w:bottom w:val="single" w:color="auto" w:sz="8" w:space="0"/>
              <w:right w:val="single" w:color="auto" w:sz="8" w:space="0"/>
            </w:tcBorders>
            <w:shd w:val="clear" w:color="000000" w:fill="B4C6E7" w:themeFill="accent1" w:themeFillTint="66"/>
            <w:vAlign w:val="center"/>
          </w:tcPr>
          <w:p>
            <w:pPr>
              <w:jc w:val="center"/>
              <w:rPr>
                <w:sz w:val="20"/>
                <w:szCs w:val="20"/>
                <w:highlight w:val="none"/>
              </w:rPr>
            </w:pPr>
            <w:r>
              <w:rPr>
                <w:sz w:val="20"/>
                <w:szCs w:val="20"/>
                <w:highlight w:val="none"/>
              </w:rPr>
              <w:t>得分率</w:t>
            </w:r>
          </w:p>
        </w:tc>
        <w:tc>
          <w:tcPr>
            <w:tcW w:w="1613" w:type="dxa"/>
            <w:tcBorders>
              <w:top w:val="single" w:color="auto" w:sz="8" w:space="0"/>
              <w:left w:val="nil"/>
              <w:bottom w:val="single" w:color="auto" w:sz="8" w:space="0"/>
              <w:right w:val="single" w:color="auto" w:sz="8" w:space="0"/>
            </w:tcBorders>
            <w:shd w:val="clear" w:color="000000" w:fill="B4C6E7" w:themeFill="accent1" w:themeFillTint="66"/>
            <w:vAlign w:val="center"/>
          </w:tcPr>
          <w:p>
            <w:pPr>
              <w:jc w:val="center"/>
              <w:rPr>
                <w:sz w:val="20"/>
                <w:szCs w:val="20"/>
                <w:highlight w:val="none"/>
              </w:rPr>
            </w:pPr>
            <w:r>
              <w:rPr>
                <w:sz w:val="20"/>
                <w:szCs w:val="20"/>
                <w:highlight w:val="none"/>
              </w:rPr>
              <w:t>实际得分</w:t>
            </w:r>
          </w:p>
        </w:tc>
      </w:tr>
      <w:tr>
        <w:tblPrEx>
          <w:tblCellMar>
            <w:top w:w="0" w:type="dxa"/>
            <w:left w:w="108" w:type="dxa"/>
            <w:bottom w:w="0" w:type="dxa"/>
            <w:right w:w="108" w:type="dxa"/>
          </w:tblCellMar>
        </w:tblPrEx>
        <w:trPr>
          <w:trHeight w:val="406" w:hRule="exact"/>
          <w:tblHeader/>
          <w:jc w:val="center"/>
        </w:trPr>
        <w:tc>
          <w:tcPr>
            <w:tcW w:w="2484" w:type="dxa"/>
            <w:tcBorders>
              <w:top w:val="single" w:color="auto" w:sz="8" w:space="0"/>
              <w:left w:val="single" w:color="auto" w:sz="8" w:space="0"/>
              <w:bottom w:val="single" w:color="auto" w:sz="4" w:space="0"/>
              <w:right w:val="single" w:color="auto" w:sz="8" w:space="0"/>
            </w:tcBorders>
            <w:vAlign w:val="center"/>
          </w:tcPr>
          <w:p>
            <w:pPr>
              <w:jc w:val="center"/>
              <w:rPr>
                <w:sz w:val="20"/>
                <w:szCs w:val="20"/>
                <w:highlight w:val="none"/>
              </w:rPr>
            </w:pPr>
            <w:r>
              <w:rPr>
                <w:sz w:val="20"/>
                <w:szCs w:val="20"/>
                <w:highlight w:val="none"/>
              </w:rPr>
              <w:t>A.项目决策</w:t>
            </w:r>
          </w:p>
        </w:tc>
        <w:tc>
          <w:tcPr>
            <w:tcW w:w="1986" w:type="dxa"/>
            <w:tcBorders>
              <w:top w:val="single" w:color="auto" w:sz="8" w:space="0"/>
              <w:left w:val="nil"/>
              <w:bottom w:val="single" w:color="auto" w:sz="4" w:space="0"/>
              <w:right w:val="single" w:color="auto" w:sz="8" w:space="0"/>
            </w:tcBorders>
            <w:vAlign w:val="center"/>
          </w:tcPr>
          <w:p>
            <w:pPr>
              <w:jc w:val="center"/>
              <w:rPr>
                <w:sz w:val="20"/>
                <w:szCs w:val="20"/>
                <w:highlight w:val="none"/>
              </w:rPr>
            </w:pPr>
            <w:r>
              <w:rPr>
                <w:rFonts w:hint="eastAsia"/>
                <w:sz w:val="20"/>
                <w:szCs w:val="20"/>
                <w:highlight w:val="none"/>
                <w:lang w:val="en-US" w:eastAsia="zh-CN"/>
              </w:rPr>
              <w:t>23</w:t>
            </w:r>
            <w:r>
              <w:rPr>
                <w:sz w:val="20"/>
                <w:szCs w:val="20"/>
                <w:highlight w:val="none"/>
              </w:rPr>
              <w:t>.00</w:t>
            </w:r>
          </w:p>
        </w:tc>
        <w:tc>
          <w:tcPr>
            <w:tcW w:w="1854" w:type="dxa"/>
            <w:tcBorders>
              <w:top w:val="single" w:color="auto" w:sz="8" w:space="0"/>
              <w:left w:val="nil"/>
              <w:bottom w:val="single" w:color="auto" w:sz="4" w:space="0"/>
              <w:right w:val="single" w:color="auto" w:sz="8" w:space="0"/>
            </w:tcBorders>
            <w:vAlign w:val="center"/>
          </w:tcPr>
          <w:p>
            <w:pPr>
              <w:jc w:val="center"/>
              <w:rPr>
                <w:rFonts w:hint="default" w:eastAsiaTheme="minorEastAsia"/>
                <w:sz w:val="20"/>
                <w:szCs w:val="20"/>
                <w:highlight w:val="none"/>
                <w:lang w:val="en-US" w:eastAsia="zh-CN"/>
              </w:rPr>
            </w:pPr>
            <w:r>
              <w:rPr>
                <w:rFonts w:hint="eastAsia"/>
                <w:sz w:val="20"/>
                <w:szCs w:val="20"/>
                <w:highlight w:val="none"/>
                <w:lang w:val="en-US" w:eastAsia="zh-CN"/>
              </w:rPr>
              <w:t>100%</w:t>
            </w:r>
          </w:p>
        </w:tc>
        <w:tc>
          <w:tcPr>
            <w:tcW w:w="1613" w:type="dxa"/>
            <w:tcBorders>
              <w:top w:val="single" w:color="auto" w:sz="8" w:space="0"/>
              <w:left w:val="nil"/>
              <w:bottom w:val="single" w:color="auto" w:sz="4" w:space="0"/>
              <w:right w:val="single" w:color="auto" w:sz="8" w:space="0"/>
            </w:tcBorders>
            <w:vAlign w:val="center"/>
          </w:tcPr>
          <w:p>
            <w:pPr>
              <w:jc w:val="center"/>
              <w:rPr>
                <w:rFonts w:hint="default" w:eastAsiaTheme="minorEastAsia"/>
                <w:sz w:val="20"/>
                <w:szCs w:val="20"/>
                <w:highlight w:val="none"/>
                <w:lang w:val="en-US" w:eastAsia="zh-CN"/>
              </w:rPr>
            </w:pPr>
            <w:r>
              <w:rPr>
                <w:rFonts w:hint="eastAsia"/>
                <w:sz w:val="20"/>
                <w:szCs w:val="20"/>
                <w:highlight w:val="none"/>
                <w:lang w:val="en-US" w:eastAsia="zh-CN"/>
              </w:rPr>
              <w:t>23.00</w:t>
            </w:r>
          </w:p>
        </w:tc>
      </w:tr>
      <w:tr>
        <w:tblPrEx>
          <w:tblCellMar>
            <w:top w:w="0" w:type="dxa"/>
            <w:left w:w="108" w:type="dxa"/>
            <w:bottom w:w="0" w:type="dxa"/>
            <w:right w:w="108" w:type="dxa"/>
          </w:tblCellMar>
        </w:tblPrEx>
        <w:trPr>
          <w:trHeight w:val="477" w:hRule="exact"/>
          <w:tblHeader/>
          <w:jc w:val="center"/>
        </w:trPr>
        <w:tc>
          <w:tcPr>
            <w:tcW w:w="2484"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Theme="minorEastAsia"/>
                <w:sz w:val="20"/>
                <w:szCs w:val="20"/>
                <w:highlight w:val="none"/>
                <w:lang w:val="en-US" w:eastAsia="zh-CN"/>
              </w:rPr>
            </w:pPr>
            <w:r>
              <w:rPr>
                <w:sz w:val="20"/>
                <w:szCs w:val="20"/>
                <w:highlight w:val="none"/>
              </w:rPr>
              <w:t>B.过程</w:t>
            </w:r>
            <w:r>
              <w:rPr>
                <w:rFonts w:hint="eastAsia"/>
                <w:sz w:val="20"/>
                <w:szCs w:val="20"/>
                <w:highlight w:val="none"/>
                <w:lang w:val="en-US" w:eastAsia="zh-CN"/>
              </w:rPr>
              <w:t>管理</w:t>
            </w:r>
          </w:p>
        </w:tc>
        <w:tc>
          <w:tcPr>
            <w:tcW w:w="1986" w:type="dxa"/>
            <w:tcBorders>
              <w:top w:val="single" w:color="auto" w:sz="4" w:space="0"/>
              <w:left w:val="single" w:color="auto" w:sz="4" w:space="0"/>
              <w:bottom w:val="single" w:color="auto" w:sz="4" w:space="0"/>
              <w:right w:val="single" w:color="auto" w:sz="4" w:space="0"/>
            </w:tcBorders>
            <w:vAlign w:val="center"/>
          </w:tcPr>
          <w:p>
            <w:pPr>
              <w:jc w:val="center"/>
              <w:rPr>
                <w:sz w:val="20"/>
                <w:szCs w:val="20"/>
                <w:highlight w:val="none"/>
              </w:rPr>
            </w:pPr>
            <w:r>
              <w:rPr>
                <w:rFonts w:hint="eastAsia"/>
                <w:sz w:val="20"/>
                <w:szCs w:val="20"/>
                <w:highlight w:val="none"/>
              </w:rPr>
              <w:t>2</w:t>
            </w:r>
            <w:r>
              <w:rPr>
                <w:rFonts w:hint="eastAsia"/>
                <w:sz w:val="20"/>
                <w:szCs w:val="20"/>
                <w:highlight w:val="none"/>
                <w:lang w:val="en-US" w:eastAsia="zh-CN"/>
              </w:rPr>
              <w:t>0</w:t>
            </w:r>
            <w:r>
              <w:rPr>
                <w:sz w:val="20"/>
                <w:szCs w:val="20"/>
                <w:highlight w:val="none"/>
              </w:rPr>
              <w:t>.00</w:t>
            </w:r>
          </w:p>
        </w:tc>
        <w:tc>
          <w:tcPr>
            <w:tcW w:w="1854"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Theme="minorEastAsia"/>
                <w:sz w:val="20"/>
                <w:szCs w:val="20"/>
                <w:highlight w:val="none"/>
                <w:lang w:val="en-US" w:eastAsia="zh-CN"/>
              </w:rPr>
            </w:pPr>
            <w:r>
              <w:rPr>
                <w:rFonts w:hint="eastAsia"/>
                <w:sz w:val="20"/>
                <w:szCs w:val="20"/>
                <w:highlight w:val="none"/>
                <w:lang w:val="en-US" w:eastAsia="zh-CN"/>
              </w:rPr>
              <w:t>100%</w:t>
            </w:r>
          </w:p>
        </w:tc>
        <w:tc>
          <w:tcPr>
            <w:tcW w:w="1613"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Theme="minorEastAsia"/>
                <w:sz w:val="20"/>
                <w:szCs w:val="20"/>
                <w:highlight w:val="none"/>
                <w:lang w:val="en-US" w:eastAsia="zh-CN"/>
              </w:rPr>
            </w:pPr>
            <w:r>
              <w:rPr>
                <w:rFonts w:hint="eastAsia"/>
                <w:sz w:val="20"/>
                <w:szCs w:val="20"/>
                <w:highlight w:val="none"/>
                <w:lang w:val="en-US" w:eastAsia="zh-CN"/>
              </w:rPr>
              <w:t>20.00</w:t>
            </w:r>
          </w:p>
        </w:tc>
      </w:tr>
      <w:tr>
        <w:tblPrEx>
          <w:tblCellMar>
            <w:top w:w="0" w:type="dxa"/>
            <w:left w:w="108" w:type="dxa"/>
            <w:bottom w:w="0" w:type="dxa"/>
            <w:right w:w="108" w:type="dxa"/>
          </w:tblCellMar>
        </w:tblPrEx>
        <w:trPr>
          <w:trHeight w:val="477" w:hRule="exact"/>
          <w:tblHeader/>
          <w:jc w:val="center"/>
        </w:trPr>
        <w:tc>
          <w:tcPr>
            <w:tcW w:w="2484"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Theme="minorEastAsia"/>
                <w:sz w:val="20"/>
                <w:szCs w:val="20"/>
                <w:highlight w:val="none"/>
                <w:lang w:val="en-US" w:eastAsia="zh-CN"/>
              </w:rPr>
            </w:pPr>
            <w:r>
              <w:rPr>
                <w:sz w:val="20"/>
                <w:szCs w:val="20"/>
                <w:highlight w:val="none"/>
              </w:rPr>
              <w:t>C.</w:t>
            </w:r>
            <w:r>
              <w:rPr>
                <w:rFonts w:hint="eastAsia"/>
                <w:sz w:val="20"/>
                <w:szCs w:val="20"/>
                <w:highlight w:val="none"/>
                <w:lang w:val="en-US" w:eastAsia="zh-CN"/>
              </w:rPr>
              <w:t>产出指标</w:t>
            </w:r>
          </w:p>
        </w:tc>
        <w:tc>
          <w:tcPr>
            <w:tcW w:w="1986" w:type="dxa"/>
            <w:tcBorders>
              <w:top w:val="single" w:color="auto" w:sz="4" w:space="0"/>
              <w:left w:val="single" w:color="auto" w:sz="4" w:space="0"/>
              <w:bottom w:val="single" w:color="auto" w:sz="4" w:space="0"/>
              <w:right w:val="single" w:color="auto" w:sz="4" w:space="0"/>
            </w:tcBorders>
            <w:vAlign w:val="center"/>
          </w:tcPr>
          <w:p>
            <w:pPr>
              <w:jc w:val="center"/>
              <w:rPr>
                <w:sz w:val="20"/>
                <w:szCs w:val="20"/>
                <w:highlight w:val="none"/>
              </w:rPr>
            </w:pPr>
            <w:r>
              <w:rPr>
                <w:rFonts w:hint="eastAsia"/>
                <w:sz w:val="20"/>
                <w:szCs w:val="20"/>
                <w:highlight w:val="none"/>
              </w:rPr>
              <w:t>4</w:t>
            </w:r>
            <w:r>
              <w:rPr>
                <w:rFonts w:hint="eastAsia"/>
                <w:sz w:val="20"/>
                <w:szCs w:val="20"/>
                <w:highlight w:val="none"/>
                <w:lang w:val="en-US" w:eastAsia="zh-CN"/>
              </w:rPr>
              <w:t>7</w:t>
            </w:r>
            <w:r>
              <w:rPr>
                <w:sz w:val="20"/>
                <w:szCs w:val="20"/>
                <w:highlight w:val="none"/>
              </w:rPr>
              <w:t>.00</w:t>
            </w:r>
          </w:p>
        </w:tc>
        <w:tc>
          <w:tcPr>
            <w:tcW w:w="1854"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Theme="minorEastAsia"/>
                <w:sz w:val="20"/>
                <w:szCs w:val="20"/>
                <w:highlight w:val="none"/>
                <w:lang w:val="en-US" w:eastAsia="zh-CN"/>
              </w:rPr>
            </w:pPr>
            <w:r>
              <w:rPr>
                <w:rFonts w:hint="eastAsia"/>
                <w:sz w:val="20"/>
                <w:szCs w:val="20"/>
                <w:highlight w:val="none"/>
                <w:lang w:val="en-US" w:eastAsia="zh-CN"/>
              </w:rPr>
              <w:t>78.70%</w:t>
            </w:r>
          </w:p>
        </w:tc>
        <w:tc>
          <w:tcPr>
            <w:tcW w:w="1613"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Theme="minorEastAsia"/>
                <w:sz w:val="20"/>
                <w:szCs w:val="20"/>
                <w:highlight w:val="none"/>
                <w:lang w:val="en-US" w:eastAsia="zh-CN"/>
              </w:rPr>
            </w:pPr>
            <w:r>
              <w:rPr>
                <w:rFonts w:hint="eastAsia"/>
                <w:sz w:val="20"/>
                <w:szCs w:val="20"/>
                <w:highlight w:val="none"/>
                <w:lang w:val="en-US" w:eastAsia="zh-CN"/>
              </w:rPr>
              <w:t>40.99</w:t>
            </w:r>
          </w:p>
        </w:tc>
      </w:tr>
      <w:tr>
        <w:tblPrEx>
          <w:tblCellMar>
            <w:top w:w="0" w:type="dxa"/>
            <w:left w:w="108" w:type="dxa"/>
            <w:bottom w:w="0" w:type="dxa"/>
            <w:right w:w="108" w:type="dxa"/>
          </w:tblCellMar>
        </w:tblPrEx>
        <w:trPr>
          <w:trHeight w:val="477" w:hRule="exact"/>
          <w:tblHeader/>
          <w:jc w:val="center"/>
        </w:trPr>
        <w:tc>
          <w:tcPr>
            <w:tcW w:w="2484"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Theme="minorEastAsia"/>
                <w:sz w:val="20"/>
                <w:szCs w:val="20"/>
                <w:highlight w:val="none"/>
                <w:lang w:val="en-US" w:eastAsia="zh-CN"/>
              </w:rPr>
            </w:pPr>
            <w:r>
              <w:rPr>
                <w:sz w:val="20"/>
                <w:szCs w:val="20"/>
                <w:highlight w:val="none"/>
              </w:rPr>
              <w:t>D.</w:t>
            </w:r>
            <w:r>
              <w:rPr>
                <w:rFonts w:hint="eastAsia"/>
                <w:sz w:val="20"/>
                <w:szCs w:val="20"/>
                <w:highlight w:val="none"/>
                <w:lang w:val="en-US" w:eastAsia="zh-CN"/>
              </w:rPr>
              <w:t>满意度指标</w:t>
            </w:r>
          </w:p>
        </w:tc>
        <w:tc>
          <w:tcPr>
            <w:tcW w:w="1986" w:type="dxa"/>
            <w:tcBorders>
              <w:top w:val="single" w:color="auto" w:sz="4" w:space="0"/>
              <w:left w:val="single" w:color="auto" w:sz="4" w:space="0"/>
              <w:bottom w:val="single" w:color="auto" w:sz="4" w:space="0"/>
              <w:right w:val="single" w:color="auto" w:sz="4" w:space="0"/>
            </w:tcBorders>
            <w:vAlign w:val="center"/>
          </w:tcPr>
          <w:p>
            <w:pPr>
              <w:jc w:val="center"/>
              <w:rPr>
                <w:sz w:val="20"/>
                <w:szCs w:val="20"/>
                <w:highlight w:val="none"/>
              </w:rPr>
            </w:pPr>
            <w:r>
              <w:rPr>
                <w:rFonts w:hint="eastAsia"/>
                <w:sz w:val="20"/>
                <w:szCs w:val="20"/>
                <w:highlight w:val="none"/>
                <w:lang w:val="en-US" w:eastAsia="zh-CN"/>
              </w:rPr>
              <w:t>10</w:t>
            </w:r>
            <w:r>
              <w:rPr>
                <w:sz w:val="20"/>
                <w:szCs w:val="20"/>
                <w:highlight w:val="none"/>
              </w:rPr>
              <w:t>.00</w:t>
            </w:r>
          </w:p>
        </w:tc>
        <w:tc>
          <w:tcPr>
            <w:tcW w:w="1854"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Theme="minorEastAsia"/>
                <w:sz w:val="20"/>
                <w:szCs w:val="20"/>
                <w:highlight w:val="none"/>
                <w:lang w:val="en-US" w:eastAsia="zh-CN"/>
              </w:rPr>
            </w:pPr>
            <w:r>
              <w:rPr>
                <w:rFonts w:hint="eastAsia"/>
                <w:sz w:val="20"/>
                <w:szCs w:val="20"/>
                <w:highlight w:val="none"/>
                <w:lang w:val="en-US" w:eastAsia="zh-CN"/>
              </w:rPr>
              <w:t>100.00%</w:t>
            </w:r>
          </w:p>
        </w:tc>
        <w:tc>
          <w:tcPr>
            <w:tcW w:w="1613"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Theme="minorEastAsia"/>
                <w:sz w:val="20"/>
                <w:szCs w:val="20"/>
                <w:highlight w:val="none"/>
                <w:lang w:val="en-US" w:eastAsia="zh-CN"/>
              </w:rPr>
            </w:pPr>
            <w:r>
              <w:rPr>
                <w:rFonts w:hint="eastAsia"/>
                <w:sz w:val="20"/>
                <w:szCs w:val="20"/>
                <w:highlight w:val="none"/>
                <w:lang w:val="en-US" w:eastAsia="zh-CN"/>
              </w:rPr>
              <w:t>10</w:t>
            </w:r>
          </w:p>
        </w:tc>
      </w:tr>
      <w:tr>
        <w:tblPrEx>
          <w:tblCellMar>
            <w:top w:w="0" w:type="dxa"/>
            <w:left w:w="108" w:type="dxa"/>
            <w:bottom w:w="0" w:type="dxa"/>
            <w:right w:w="108" w:type="dxa"/>
          </w:tblCellMar>
        </w:tblPrEx>
        <w:trPr>
          <w:trHeight w:val="486" w:hRule="exact"/>
          <w:tblHeader/>
          <w:jc w:val="center"/>
        </w:trPr>
        <w:tc>
          <w:tcPr>
            <w:tcW w:w="2484" w:type="dxa"/>
            <w:tcBorders>
              <w:top w:val="single" w:color="auto" w:sz="4" w:space="0"/>
              <w:left w:val="single" w:color="auto" w:sz="4" w:space="0"/>
              <w:bottom w:val="single" w:color="auto" w:sz="4" w:space="0"/>
              <w:right w:val="single" w:color="auto" w:sz="4" w:space="0"/>
            </w:tcBorders>
            <w:vAlign w:val="center"/>
          </w:tcPr>
          <w:p>
            <w:pPr>
              <w:jc w:val="center"/>
              <w:rPr>
                <w:sz w:val="20"/>
                <w:szCs w:val="20"/>
                <w:highlight w:val="none"/>
              </w:rPr>
            </w:pPr>
            <w:r>
              <w:rPr>
                <w:sz w:val="20"/>
                <w:szCs w:val="20"/>
                <w:highlight w:val="none"/>
              </w:rPr>
              <w:t>合  计</w:t>
            </w:r>
          </w:p>
        </w:tc>
        <w:tc>
          <w:tcPr>
            <w:tcW w:w="1986" w:type="dxa"/>
            <w:tcBorders>
              <w:top w:val="single" w:color="auto" w:sz="4" w:space="0"/>
              <w:left w:val="single" w:color="auto" w:sz="4" w:space="0"/>
              <w:bottom w:val="single" w:color="auto" w:sz="4" w:space="0"/>
              <w:right w:val="single" w:color="auto" w:sz="4" w:space="0"/>
            </w:tcBorders>
            <w:vAlign w:val="center"/>
          </w:tcPr>
          <w:p>
            <w:pPr>
              <w:jc w:val="center"/>
              <w:rPr>
                <w:sz w:val="20"/>
                <w:szCs w:val="20"/>
                <w:highlight w:val="none"/>
              </w:rPr>
            </w:pPr>
            <w:r>
              <w:rPr>
                <w:sz w:val="20"/>
                <w:szCs w:val="20"/>
                <w:highlight w:val="none"/>
              </w:rPr>
              <w:t>100.00</w:t>
            </w:r>
          </w:p>
        </w:tc>
        <w:tc>
          <w:tcPr>
            <w:tcW w:w="1854"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Theme="minorEastAsia"/>
                <w:sz w:val="20"/>
                <w:szCs w:val="20"/>
                <w:highlight w:val="none"/>
                <w:lang w:val="en-US" w:eastAsia="zh-CN"/>
              </w:rPr>
            </w:pPr>
            <w:r>
              <w:rPr>
                <w:rFonts w:hint="eastAsia"/>
                <w:sz w:val="20"/>
                <w:szCs w:val="20"/>
                <w:highlight w:val="none"/>
                <w:lang w:val="en-US" w:eastAsia="zh-CN"/>
              </w:rPr>
              <w:t>89.99%</w:t>
            </w:r>
          </w:p>
        </w:tc>
        <w:tc>
          <w:tcPr>
            <w:tcW w:w="1613"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Theme="minorEastAsia"/>
                <w:sz w:val="20"/>
                <w:szCs w:val="20"/>
                <w:highlight w:val="none"/>
                <w:lang w:val="en-US" w:eastAsia="zh-CN"/>
              </w:rPr>
            </w:pPr>
            <w:r>
              <w:rPr>
                <w:rFonts w:hint="eastAsia"/>
                <w:sz w:val="20"/>
                <w:szCs w:val="20"/>
                <w:highlight w:val="none"/>
                <w:lang w:val="en-US" w:eastAsia="zh-CN"/>
              </w:rPr>
              <w:t>93.99</w:t>
            </w:r>
          </w:p>
        </w:tc>
      </w:tr>
    </w:tbl>
    <w:p>
      <w:pPr>
        <w:spacing w:line="600" w:lineRule="exact"/>
        <w:ind w:firstLine="640" w:firstLineChars="200"/>
        <w:rPr>
          <w:rFonts w:hint="eastAsia" w:ascii="方正仿宋_GB2312" w:hAnsi="方正仿宋_GB2312" w:eastAsia="方正仿宋_GB2312" w:cs="方正仿宋_GB2312"/>
          <w:kern w:val="2"/>
          <w:sz w:val="32"/>
          <w:szCs w:val="32"/>
          <w:highlight w:val="none"/>
          <w:lang w:val="en-US" w:eastAsia="zh-CN" w:bidi="ar-SA"/>
        </w:rPr>
      </w:pPr>
      <w:r>
        <w:rPr>
          <w:rFonts w:hint="eastAsia" w:ascii="方正仿宋_GB2312" w:hAnsi="方正仿宋_GB2312" w:eastAsia="方正仿宋_GB2312" w:cs="方正仿宋_GB2312"/>
          <w:kern w:val="2"/>
          <w:sz w:val="32"/>
          <w:szCs w:val="32"/>
          <w:highlight w:val="none"/>
          <w:lang w:val="en-US" w:eastAsia="zh-CN" w:bidi="ar-SA"/>
        </w:rPr>
        <w:t>绩效评价表明，</w:t>
      </w:r>
      <w:bookmarkStart w:id="8" w:name="_Hlk86062859"/>
      <w:r>
        <w:rPr>
          <w:rFonts w:hint="eastAsia" w:ascii="方正仿宋_GB2312" w:hAnsi="方正仿宋_GB2312" w:eastAsia="方正仿宋_GB2312" w:cs="方正仿宋_GB2312"/>
          <w:kern w:val="2"/>
          <w:sz w:val="32"/>
          <w:szCs w:val="32"/>
          <w:highlight w:val="none"/>
          <w:lang w:val="en-US" w:eastAsia="zh-CN" w:bidi="ar-SA"/>
        </w:rPr>
        <w:t>城乡居民医保补助资金</w:t>
      </w:r>
      <w:bookmarkEnd w:id="8"/>
      <w:r>
        <w:rPr>
          <w:rFonts w:hint="eastAsia" w:ascii="方正仿宋_GB2312" w:hAnsi="方正仿宋_GB2312" w:eastAsia="方正仿宋_GB2312" w:cs="方正仿宋_GB2312"/>
          <w:kern w:val="2"/>
          <w:sz w:val="32"/>
          <w:szCs w:val="32"/>
          <w:highlight w:val="none"/>
          <w:lang w:val="en-US" w:eastAsia="zh-CN" w:bidi="ar-SA"/>
        </w:rPr>
        <w:t>分配使用管理整体情况良好，参保率持续巩固，保障水平稳步提高，基金收支总量平衡，除重复参保人数未达到指标值之外，年初设定的绩效目标基本完成。绩效自评为“优”。</w:t>
      </w:r>
    </w:p>
    <w:p>
      <w:pPr>
        <w:spacing w:line="600" w:lineRule="exact"/>
        <w:ind w:firstLine="640" w:firstLineChars="200"/>
        <w:outlineLvl w:val="0"/>
        <w:rPr>
          <w:rFonts w:hint="eastAsia" w:ascii="黑体" w:hAnsi="黑体" w:eastAsia="黑体" w:cs="黑体"/>
          <w:sz w:val="32"/>
          <w:szCs w:val="36"/>
          <w:highlight w:val="none"/>
        </w:rPr>
      </w:pPr>
      <w:bookmarkStart w:id="9" w:name="_Toc8985"/>
      <w:r>
        <w:rPr>
          <w:rFonts w:hint="eastAsia" w:ascii="黑体" w:hAnsi="黑体" w:eastAsia="黑体" w:cs="黑体"/>
          <w:sz w:val="32"/>
          <w:szCs w:val="36"/>
          <w:highlight w:val="none"/>
        </w:rPr>
        <w:t>四、绩效评价指标分析</w:t>
      </w:r>
      <w:bookmarkEnd w:id="9"/>
    </w:p>
    <w:p>
      <w:pPr>
        <w:spacing w:line="600" w:lineRule="exact"/>
        <w:ind w:firstLine="640" w:firstLineChars="200"/>
        <w:outlineLvl w:val="1"/>
        <w:rPr>
          <w:rFonts w:hint="eastAsia" w:ascii="楷体" w:hAnsi="楷体" w:eastAsia="楷体" w:cs="楷体"/>
          <w:sz w:val="32"/>
          <w:szCs w:val="36"/>
          <w:highlight w:val="none"/>
        </w:rPr>
      </w:pPr>
      <w:bookmarkStart w:id="10" w:name="_Toc30340"/>
      <w:r>
        <w:rPr>
          <w:rFonts w:hint="eastAsia" w:ascii="楷体" w:hAnsi="楷体" w:eastAsia="楷体" w:cs="楷体"/>
          <w:sz w:val="32"/>
          <w:szCs w:val="36"/>
          <w:highlight w:val="none"/>
        </w:rPr>
        <w:t>（一）项目决策情况</w:t>
      </w:r>
      <w:bookmarkEnd w:id="10"/>
    </w:p>
    <w:p>
      <w:pPr>
        <w:pStyle w:val="29"/>
        <w:spacing w:after="0" w:line="600" w:lineRule="exact"/>
        <w:ind w:firstLine="640" w:firstLineChars="200"/>
        <w:rPr>
          <w:rFonts w:hint="eastAsia" w:ascii="方正仿宋_GB2312" w:hAnsi="方正仿宋_GB2312" w:eastAsia="方正仿宋_GB2312" w:cs="方正仿宋_GB2312"/>
          <w:kern w:val="2"/>
          <w:sz w:val="32"/>
          <w:szCs w:val="32"/>
          <w:highlight w:val="none"/>
          <w:lang w:val="en-US" w:eastAsia="zh-CN" w:bidi="ar-SA"/>
        </w:rPr>
      </w:pPr>
      <w:r>
        <w:rPr>
          <w:rFonts w:hint="eastAsia" w:ascii="方正仿宋_GB2312" w:hAnsi="方正仿宋_GB2312" w:eastAsia="方正仿宋_GB2312" w:cs="方正仿宋_GB2312"/>
          <w:kern w:val="2"/>
          <w:sz w:val="32"/>
          <w:szCs w:val="32"/>
          <w:highlight w:val="none"/>
          <w:lang w:val="en-US" w:eastAsia="zh-CN" w:bidi="ar-SA"/>
        </w:rPr>
        <w:t>从决策依据、决策过程、绩效目标、资金分配4个方面对该项目的决策情况进行分析。</w:t>
      </w:r>
    </w:p>
    <w:p>
      <w:pPr>
        <w:pStyle w:val="29"/>
        <w:spacing w:after="0" w:line="600" w:lineRule="exact"/>
        <w:ind w:firstLine="640" w:firstLineChars="200"/>
        <w:rPr>
          <w:rFonts w:hint="eastAsia" w:ascii="方正仿宋_GB2312" w:hAnsi="方正仿宋_GB2312" w:eastAsia="方正仿宋_GB2312" w:cs="方正仿宋_GB2312"/>
          <w:kern w:val="2"/>
          <w:sz w:val="32"/>
          <w:szCs w:val="32"/>
          <w:highlight w:val="none"/>
          <w:lang w:val="en-US" w:eastAsia="zh-CN" w:bidi="ar-SA"/>
        </w:rPr>
      </w:pPr>
      <w:r>
        <w:rPr>
          <w:rFonts w:hint="eastAsia" w:ascii="方正仿宋_GB2312" w:hAnsi="方正仿宋_GB2312" w:eastAsia="方正仿宋_GB2312" w:cs="方正仿宋_GB2312"/>
          <w:kern w:val="2"/>
          <w:sz w:val="32"/>
          <w:szCs w:val="32"/>
          <w:highlight w:val="none"/>
          <w:lang w:val="en-US" w:eastAsia="zh-CN" w:bidi="ar-SA"/>
        </w:rPr>
        <w:t>1.项目决策指标分值23分，实际得分23分、失分0.00分，得分率100.00%。项目决策指标得分情况如下表所示：</w:t>
      </w:r>
    </w:p>
    <w:tbl>
      <w:tblPr>
        <w:tblStyle w:val="14"/>
        <w:tblW w:w="8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2"/>
        <w:gridCol w:w="546"/>
        <w:gridCol w:w="1058"/>
        <w:gridCol w:w="1307"/>
        <w:gridCol w:w="1145"/>
        <w:gridCol w:w="1037"/>
        <w:gridCol w:w="2581"/>
        <w:gridCol w:w="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blHeader/>
        </w:trPr>
        <w:tc>
          <w:tcPr>
            <w:tcW w:w="552" w:type="dxa"/>
            <w:vAlign w:val="center"/>
          </w:tcPr>
          <w:p>
            <w:pPr>
              <w:pStyle w:val="17"/>
              <w:bidi w:val="0"/>
              <w:jc w:val="center"/>
              <w:rPr>
                <w:rFonts w:hint="eastAsia" w:ascii="黑体" w:hAnsi="黑体" w:eastAsia="黑体" w:cs="黑体"/>
                <w:b w:val="0"/>
                <w:bCs w:val="0"/>
                <w:sz w:val="18"/>
                <w:szCs w:val="18"/>
                <w:highlight w:val="none"/>
              </w:rPr>
            </w:pPr>
            <w:r>
              <w:rPr>
                <w:rFonts w:hint="eastAsia" w:ascii="黑体" w:hAnsi="黑体" w:eastAsia="黑体" w:cs="黑体"/>
                <w:b w:val="0"/>
                <w:bCs w:val="0"/>
                <w:sz w:val="18"/>
                <w:szCs w:val="18"/>
                <w:highlight w:val="none"/>
              </w:rPr>
              <w:t>一级指标</w:t>
            </w:r>
          </w:p>
        </w:tc>
        <w:tc>
          <w:tcPr>
            <w:tcW w:w="546" w:type="dxa"/>
            <w:vAlign w:val="center"/>
          </w:tcPr>
          <w:p>
            <w:pPr>
              <w:pStyle w:val="17"/>
              <w:bidi w:val="0"/>
              <w:jc w:val="center"/>
              <w:rPr>
                <w:rFonts w:hint="eastAsia" w:ascii="黑体" w:hAnsi="黑体" w:eastAsia="黑体" w:cs="黑体"/>
                <w:b w:val="0"/>
                <w:bCs w:val="0"/>
                <w:sz w:val="18"/>
                <w:szCs w:val="18"/>
                <w:highlight w:val="none"/>
              </w:rPr>
            </w:pPr>
            <w:r>
              <w:rPr>
                <w:rFonts w:hint="eastAsia" w:ascii="黑体" w:hAnsi="黑体" w:eastAsia="黑体" w:cs="黑体"/>
                <w:b w:val="0"/>
                <w:bCs w:val="0"/>
                <w:sz w:val="18"/>
                <w:szCs w:val="18"/>
                <w:highlight w:val="none"/>
              </w:rPr>
              <w:t>二级指标</w:t>
            </w:r>
          </w:p>
        </w:tc>
        <w:tc>
          <w:tcPr>
            <w:tcW w:w="1058" w:type="dxa"/>
            <w:vAlign w:val="center"/>
          </w:tcPr>
          <w:p>
            <w:pPr>
              <w:pStyle w:val="17"/>
              <w:bidi w:val="0"/>
              <w:jc w:val="center"/>
              <w:rPr>
                <w:rFonts w:hint="eastAsia" w:ascii="黑体" w:hAnsi="黑体" w:eastAsia="黑体" w:cs="黑体"/>
                <w:b w:val="0"/>
                <w:bCs w:val="0"/>
                <w:sz w:val="18"/>
                <w:szCs w:val="18"/>
                <w:highlight w:val="none"/>
              </w:rPr>
            </w:pPr>
            <w:r>
              <w:rPr>
                <w:rFonts w:hint="eastAsia" w:ascii="黑体" w:hAnsi="黑体" w:eastAsia="黑体" w:cs="黑体"/>
                <w:b w:val="0"/>
                <w:bCs w:val="0"/>
                <w:sz w:val="18"/>
                <w:szCs w:val="18"/>
                <w:highlight w:val="none"/>
              </w:rPr>
              <w:t>三级指标</w:t>
            </w:r>
          </w:p>
        </w:tc>
        <w:tc>
          <w:tcPr>
            <w:tcW w:w="1307" w:type="dxa"/>
            <w:vAlign w:val="center"/>
          </w:tcPr>
          <w:p>
            <w:pPr>
              <w:pStyle w:val="17"/>
              <w:bidi w:val="0"/>
              <w:jc w:val="center"/>
              <w:rPr>
                <w:rFonts w:hint="eastAsia" w:ascii="黑体" w:hAnsi="黑体" w:eastAsia="黑体" w:cs="黑体"/>
                <w:b w:val="0"/>
                <w:bCs w:val="0"/>
                <w:sz w:val="18"/>
                <w:szCs w:val="18"/>
                <w:highlight w:val="none"/>
              </w:rPr>
            </w:pPr>
            <w:r>
              <w:rPr>
                <w:rFonts w:hint="eastAsia" w:ascii="黑体" w:hAnsi="黑体" w:eastAsia="黑体" w:cs="黑体"/>
                <w:b w:val="0"/>
                <w:bCs w:val="0"/>
                <w:sz w:val="18"/>
                <w:szCs w:val="18"/>
                <w:highlight w:val="none"/>
              </w:rPr>
              <w:t>标准值</w:t>
            </w:r>
          </w:p>
        </w:tc>
        <w:tc>
          <w:tcPr>
            <w:tcW w:w="1145" w:type="dxa"/>
            <w:vAlign w:val="center"/>
          </w:tcPr>
          <w:p>
            <w:pPr>
              <w:pStyle w:val="17"/>
              <w:bidi w:val="0"/>
              <w:jc w:val="center"/>
              <w:rPr>
                <w:rFonts w:hint="eastAsia" w:ascii="黑体" w:hAnsi="黑体" w:eastAsia="黑体" w:cs="黑体"/>
                <w:b w:val="0"/>
                <w:bCs w:val="0"/>
                <w:sz w:val="18"/>
                <w:szCs w:val="18"/>
                <w:highlight w:val="none"/>
              </w:rPr>
            </w:pPr>
            <w:r>
              <w:rPr>
                <w:rFonts w:hint="eastAsia" w:ascii="黑体" w:hAnsi="黑体" w:eastAsia="黑体" w:cs="黑体"/>
                <w:b w:val="0"/>
                <w:bCs w:val="0"/>
                <w:sz w:val="18"/>
                <w:szCs w:val="18"/>
                <w:highlight w:val="none"/>
              </w:rPr>
              <w:t>实际值</w:t>
            </w:r>
          </w:p>
          <w:p>
            <w:pPr>
              <w:pStyle w:val="17"/>
              <w:bidi w:val="0"/>
              <w:jc w:val="center"/>
              <w:rPr>
                <w:rFonts w:hint="eastAsia" w:ascii="黑体" w:hAnsi="黑体" w:eastAsia="黑体" w:cs="黑体"/>
                <w:b w:val="0"/>
                <w:bCs w:val="0"/>
                <w:sz w:val="18"/>
                <w:szCs w:val="18"/>
                <w:highlight w:val="none"/>
              </w:rPr>
            </w:pPr>
            <w:r>
              <w:rPr>
                <w:rFonts w:hint="eastAsia" w:ascii="黑体" w:hAnsi="黑体" w:eastAsia="黑体" w:cs="黑体"/>
                <w:b w:val="0"/>
                <w:bCs w:val="0"/>
                <w:sz w:val="18"/>
                <w:szCs w:val="18"/>
                <w:highlight w:val="none"/>
              </w:rPr>
              <w:t>(2021年)</w:t>
            </w:r>
          </w:p>
        </w:tc>
        <w:tc>
          <w:tcPr>
            <w:tcW w:w="1037" w:type="dxa"/>
            <w:vAlign w:val="center"/>
          </w:tcPr>
          <w:p>
            <w:pPr>
              <w:pStyle w:val="17"/>
              <w:bidi w:val="0"/>
              <w:jc w:val="center"/>
              <w:rPr>
                <w:rFonts w:hint="eastAsia" w:ascii="黑体" w:hAnsi="黑体" w:eastAsia="黑体" w:cs="黑体"/>
                <w:b w:val="0"/>
                <w:bCs w:val="0"/>
                <w:sz w:val="18"/>
                <w:szCs w:val="18"/>
                <w:highlight w:val="none"/>
              </w:rPr>
            </w:pPr>
            <w:r>
              <w:rPr>
                <w:rFonts w:hint="eastAsia" w:ascii="黑体" w:hAnsi="黑体" w:eastAsia="黑体" w:cs="黑体"/>
                <w:b w:val="0"/>
                <w:bCs w:val="0"/>
                <w:sz w:val="18"/>
                <w:szCs w:val="18"/>
                <w:highlight w:val="none"/>
              </w:rPr>
              <w:t>实际值</w:t>
            </w:r>
          </w:p>
          <w:p>
            <w:pPr>
              <w:pStyle w:val="17"/>
              <w:bidi w:val="0"/>
              <w:jc w:val="center"/>
              <w:rPr>
                <w:rFonts w:hint="eastAsia" w:ascii="黑体" w:hAnsi="黑体" w:eastAsia="黑体" w:cs="黑体"/>
                <w:b w:val="0"/>
                <w:bCs w:val="0"/>
                <w:sz w:val="18"/>
                <w:szCs w:val="18"/>
                <w:highlight w:val="none"/>
              </w:rPr>
            </w:pPr>
            <w:r>
              <w:rPr>
                <w:rFonts w:hint="eastAsia" w:ascii="黑体" w:hAnsi="黑体" w:eastAsia="黑体" w:cs="黑体"/>
                <w:b w:val="0"/>
                <w:bCs w:val="0"/>
                <w:sz w:val="18"/>
                <w:szCs w:val="18"/>
                <w:highlight w:val="none"/>
              </w:rPr>
              <w:t>(2022年)</w:t>
            </w:r>
          </w:p>
        </w:tc>
        <w:tc>
          <w:tcPr>
            <w:tcW w:w="2581" w:type="dxa"/>
            <w:vAlign w:val="center"/>
          </w:tcPr>
          <w:p>
            <w:pPr>
              <w:pStyle w:val="17"/>
              <w:bidi w:val="0"/>
              <w:jc w:val="center"/>
              <w:rPr>
                <w:rFonts w:hint="eastAsia" w:ascii="黑体" w:hAnsi="黑体" w:eastAsia="黑体" w:cs="黑体"/>
                <w:b w:val="0"/>
                <w:bCs w:val="0"/>
                <w:sz w:val="18"/>
                <w:szCs w:val="18"/>
                <w:highlight w:val="none"/>
              </w:rPr>
            </w:pPr>
            <w:r>
              <w:rPr>
                <w:rFonts w:hint="eastAsia" w:ascii="黑体" w:hAnsi="黑体" w:eastAsia="黑体" w:cs="黑体"/>
                <w:b w:val="0"/>
                <w:bCs w:val="0"/>
                <w:sz w:val="18"/>
                <w:szCs w:val="18"/>
                <w:highlight w:val="none"/>
              </w:rPr>
              <w:t>评分标准</w:t>
            </w:r>
          </w:p>
        </w:tc>
        <w:tc>
          <w:tcPr>
            <w:tcW w:w="409" w:type="dxa"/>
            <w:vAlign w:val="center"/>
          </w:tcPr>
          <w:p>
            <w:pPr>
              <w:pStyle w:val="17"/>
              <w:bidi w:val="0"/>
              <w:jc w:val="center"/>
              <w:rPr>
                <w:rFonts w:hint="eastAsia" w:ascii="黑体" w:hAnsi="黑体" w:eastAsia="黑体" w:cs="黑体"/>
                <w:b w:val="0"/>
                <w:bCs w:val="0"/>
                <w:sz w:val="18"/>
                <w:szCs w:val="18"/>
                <w:highlight w:val="none"/>
              </w:rPr>
            </w:pPr>
            <w:r>
              <w:rPr>
                <w:rFonts w:hint="eastAsia" w:ascii="黑体" w:hAnsi="黑体" w:eastAsia="黑体" w:cs="黑体"/>
                <w:b w:val="0"/>
                <w:bCs w:val="0"/>
                <w:sz w:val="18"/>
                <w:szCs w:val="18"/>
                <w:highlight w:val="none"/>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trPr>
        <w:tc>
          <w:tcPr>
            <w:tcW w:w="552" w:type="dxa"/>
            <w:vMerge w:val="restart"/>
            <w:vAlign w:val="center"/>
          </w:tcPr>
          <w:p>
            <w:pPr>
              <w:bidi w:val="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项目</w:t>
            </w:r>
          </w:p>
          <w:p>
            <w:pPr>
              <w:bidi w:val="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决策</w:t>
            </w:r>
          </w:p>
          <w:p>
            <w:pPr>
              <w:bidi w:val="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w:t>
            </w:r>
            <w:r>
              <w:rPr>
                <w:rFonts w:hint="eastAsia" w:ascii="仿宋_GB2312" w:hAnsi="仿宋_GB2312" w:eastAsia="仿宋_GB2312" w:cs="仿宋_GB2312"/>
                <w:sz w:val="21"/>
                <w:szCs w:val="21"/>
                <w:highlight w:val="none"/>
                <w:lang w:val="en-US" w:eastAsia="zh-CN"/>
              </w:rPr>
              <w:t>23</w:t>
            </w:r>
            <w:r>
              <w:rPr>
                <w:rFonts w:hint="eastAsia" w:ascii="仿宋_GB2312" w:hAnsi="仿宋_GB2312" w:eastAsia="仿宋_GB2312" w:cs="仿宋_GB2312"/>
                <w:sz w:val="21"/>
                <w:szCs w:val="21"/>
                <w:highlight w:val="none"/>
              </w:rPr>
              <w:t>分)</w:t>
            </w:r>
          </w:p>
        </w:tc>
        <w:tc>
          <w:tcPr>
            <w:tcW w:w="546" w:type="dxa"/>
            <w:vMerge w:val="restart"/>
            <w:vAlign w:val="center"/>
          </w:tcPr>
          <w:p>
            <w:pPr>
              <w:bidi w:val="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决策依据</w:t>
            </w:r>
          </w:p>
        </w:tc>
        <w:tc>
          <w:tcPr>
            <w:tcW w:w="1058" w:type="dxa"/>
          </w:tcPr>
          <w:p>
            <w:pPr>
              <w:bidi w:val="0"/>
              <w:rPr>
                <w:rFonts w:hint="eastAsia" w:ascii="仿宋_GB2312" w:hAnsi="仿宋_GB2312" w:eastAsia="仿宋_GB2312" w:cs="仿宋_GB2312"/>
                <w:sz w:val="21"/>
                <w:szCs w:val="21"/>
                <w:highlight w:val="none"/>
              </w:rPr>
            </w:pPr>
          </w:p>
          <w:p>
            <w:pPr>
              <w:bidi w:val="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贯彻中央</w:t>
            </w:r>
            <w:r>
              <w:rPr>
                <w:rFonts w:hint="eastAsia" w:ascii="仿宋_GB2312" w:hAnsi="仿宋_GB2312" w:eastAsia="仿宋_GB2312" w:cs="仿宋_GB2312"/>
                <w:sz w:val="21"/>
                <w:szCs w:val="21"/>
                <w:highlight w:val="none"/>
                <w:lang w:eastAsia="zh-CN"/>
              </w:rPr>
              <w:t>对</w:t>
            </w:r>
            <w:r>
              <w:rPr>
                <w:rFonts w:hint="eastAsia" w:ascii="仿宋_GB2312" w:hAnsi="仿宋_GB2312" w:eastAsia="仿宋_GB2312" w:cs="仿宋_GB2312"/>
                <w:sz w:val="21"/>
                <w:szCs w:val="21"/>
                <w:highlight w:val="none"/>
              </w:rPr>
              <w:t>医疗保障制度改革</w:t>
            </w:r>
            <w:r>
              <w:rPr>
                <w:rFonts w:hint="eastAsia" w:ascii="仿宋_GB2312" w:hAnsi="仿宋_GB2312" w:eastAsia="仿宋_GB2312" w:cs="仿宋_GB2312"/>
                <w:sz w:val="21"/>
                <w:szCs w:val="21"/>
                <w:highlight w:val="none"/>
                <w:lang w:eastAsia="zh-CN"/>
              </w:rPr>
              <w:t>中</w:t>
            </w:r>
            <w:r>
              <w:rPr>
                <w:rFonts w:hint="eastAsia" w:ascii="仿宋_GB2312" w:hAnsi="仿宋_GB2312" w:eastAsia="仿宋_GB2312" w:cs="仿宋_GB2312"/>
                <w:sz w:val="21"/>
                <w:szCs w:val="21"/>
                <w:highlight w:val="none"/>
              </w:rPr>
              <w:t>有关</w:t>
            </w:r>
            <w:r>
              <w:rPr>
                <w:rFonts w:hint="eastAsia" w:ascii="仿宋_GB2312" w:hAnsi="仿宋_GB2312" w:eastAsia="仿宋_GB2312" w:cs="仿宋_GB2312"/>
                <w:sz w:val="21"/>
                <w:szCs w:val="21"/>
                <w:highlight w:val="none"/>
                <w:lang w:val="en-US" w:eastAsia="zh-CN"/>
              </w:rPr>
              <w:t>城乡居民医保</w:t>
            </w:r>
            <w:r>
              <w:rPr>
                <w:rFonts w:hint="eastAsia" w:ascii="仿宋_GB2312" w:hAnsi="仿宋_GB2312" w:eastAsia="仿宋_GB2312" w:cs="仿宋_GB2312"/>
                <w:sz w:val="21"/>
                <w:szCs w:val="21"/>
                <w:highlight w:val="none"/>
              </w:rPr>
              <w:t>决策部署</w:t>
            </w:r>
          </w:p>
        </w:tc>
        <w:tc>
          <w:tcPr>
            <w:tcW w:w="1307" w:type="dxa"/>
            <w:vAlign w:val="center"/>
          </w:tcPr>
          <w:p>
            <w:pPr>
              <w:bidi w:val="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依据</w:t>
            </w:r>
            <w:r>
              <w:rPr>
                <w:rFonts w:hint="eastAsia" w:ascii="仿宋_GB2312" w:hAnsi="仿宋_GB2312" w:eastAsia="仿宋_GB2312" w:cs="仿宋_GB2312"/>
                <w:sz w:val="21"/>
                <w:szCs w:val="21"/>
                <w:highlight w:val="none"/>
                <w:lang w:eastAsia="zh-CN"/>
              </w:rPr>
              <w:t>党</w:t>
            </w:r>
            <w:r>
              <w:rPr>
                <w:rFonts w:hint="eastAsia" w:ascii="仿宋_GB2312" w:hAnsi="仿宋_GB2312" w:eastAsia="仿宋_GB2312" w:cs="仿宋_GB2312"/>
                <w:sz w:val="21"/>
                <w:szCs w:val="21"/>
                <w:highlight w:val="none"/>
              </w:rPr>
              <w:t>中央和国务院深化医疗保障制度改革的意见和《“十四五”全民医疗保障规划》进行决策</w:t>
            </w:r>
          </w:p>
        </w:tc>
        <w:tc>
          <w:tcPr>
            <w:tcW w:w="1145" w:type="dxa"/>
          </w:tcPr>
          <w:p>
            <w:pPr>
              <w:bidi w:val="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依据</w:t>
            </w:r>
            <w:r>
              <w:rPr>
                <w:rFonts w:hint="eastAsia" w:ascii="仿宋_GB2312" w:hAnsi="仿宋_GB2312" w:eastAsia="仿宋_GB2312" w:cs="仿宋_GB2312"/>
                <w:sz w:val="21"/>
                <w:szCs w:val="21"/>
                <w:highlight w:val="none"/>
                <w:lang w:eastAsia="zh-CN"/>
              </w:rPr>
              <w:t>党</w:t>
            </w:r>
            <w:r>
              <w:rPr>
                <w:rFonts w:hint="eastAsia" w:ascii="仿宋_GB2312" w:hAnsi="仿宋_GB2312" w:eastAsia="仿宋_GB2312" w:cs="仿宋_GB2312"/>
                <w:sz w:val="21"/>
                <w:szCs w:val="21"/>
                <w:highlight w:val="none"/>
              </w:rPr>
              <w:t>中央和国务院深化医疗保障制度改革的意见和《“十四五”全民医疗保障规划》进行决策</w:t>
            </w:r>
          </w:p>
        </w:tc>
        <w:tc>
          <w:tcPr>
            <w:tcW w:w="1037" w:type="dxa"/>
          </w:tcPr>
          <w:p>
            <w:pPr>
              <w:bidi w:val="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依据</w:t>
            </w:r>
            <w:r>
              <w:rPr>
                <w:rFonts w:hint="eastAsia" w:ascii="仿宋_GB2312" w:hAnsi="仿宋_GB2312" w:eastAsia="仿宋_GB2312" w:cs="仿宋_GB2312"/>
                <w:sz w:val="21"/>
                <w:szCs w:val="21"/>
                <w:highlight w:val="none"/>
                <w:lang w:eastAsia="zh-CN"/>
              </w:rPr>
              <w:t>党</w:t>
            </w:r>
            <w:r>
              <w:rPr>
                <w:rFonts w:hint="eastAsia" w:ascii="仿宋_GB2312" w:hAnsi="仿宋_GB2312" w:eastAsia="仿宋_GB2312" w:cs="仿宋_GB2312"/>
                <w:sz w:val="21"/>
                <w:szCs w:val="21"/>
                <w:highlight w:val="none"/>
              </w:rPr>
              <w:t>中央和国务院深化医疗保障制度改革的意见和《“十四五”全民医疗保障规划》进行决策</w:t>
            </w:r>
          </w:p>
        </w:tc>
        <w:tc>
          <w:tcPr>
            <w:tcW w:w="2581" w:type="dxa"/>
            <w:vAlign w:val="center"/>
          </w:tcPr>
          <w:p>
            <w:pPr>
              <w:bidi w:val="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①符合《中共中央国务院关于深化医疗保障制度改革的意见》(2分)</w:t>
            </w:r>
          </w:p>
          <w:p>
            <w:pPr>
              <w:bidi w:val="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②</w:t>
            </w:r>
            <w:r>
              <w:rPr>
                <w:rFonts w:hint="eastAsia" w:ascii="仿宋_GB2312" w:hAnsi="仿宋_GB2312" w:eastAsia="仿宋_GB2312" w:cs="仿宋_GB2312"/>
                <w:sz w:val="21"/>
                <w:szCs w:val="21"/>
                <w:highlight w:val="none"/>
                <w:lang w:val="en-US" w:eastAsia="zh-CN"/>
              </w:rPr>
              <w:t>印发</w:t>
            </w:r>
            <w:r>
              <w:rPr>
                <w:rFonts w:hint="eastAsia" w:ascii="仿宋_GB2312" w:hAnsi="仿宋_GB2312" w:eastAsia="仿宋_GB2312" w:cs="仿宋_GB2312"/>
                <w:sz w:val="21"/>
                <w:szCs w:val="21"/>
                <w:highlight w:val="none"/>
              </w:rPr>
              <w:t>《“十四五”全民医疗保障规划》</w:t>
            </w:r>
            <w:r>
              <w:rPr>
                <w:rFonts w:hint="eastAsia" w:ascii="仿宋_GB2312" w:hAnsi="仿宋_GB2312" w:eastAsia="仿宋_GB2312" w:cs="仿宋_GB2312"/>
                <w:sz w:val="21"/>
                <w:szCs w:val="21"/>
                <w:highlight w:val="none"/>
                <w:lang w:val="en-US" w:eastAsia="zh-CN"/>
              </w:rPr>
              <w:t>2022年度任务的相关文件</w:t>
            </w:r>
            <w:r>
              <w:rPr>
                <w:rFonts w:hint="eastAsia" w:ascii="仿宋_GB2312" w:hAnsi="仿宋_GB2312" w:eastAsia="仿宋_GB2312" w:cs="仿宋_GB2312"/>
                <w:sz w:val="21"/>
                <w:szCs w:val="21"/>
                <w:highlight w:val="none"/>
              </w:rPr>
              <w:t>(2分）</w:t>
            </w:r>
          </w:p>
        </w:tc>
        <w:tc>
          <w:tcPr>
            <w:tcW w:w="409" w:type="dxa"/>
          </w:tcPr>
          <w:p>
            <w:pPr>
              <w:bidi w:val="0"/>
              <w:jc w:val="center"/>
              <w:rPr>
                <w:rFonts w:hint="eastAsia" w:ascii="仿宋_GB2312" w:hAnsi="仿宋_GB2312" w:eastAsia="仿宋_GB2312" w:cs="仿宋_GB2312"/>
                <w:sz w:val="21"/>
                <w:szCs w:val="21"/>
                <w:highlight w:val="none"/>
              </w:rPr>
            </w:pPr>
          </w:p>
          <w:p>
            <w:pPr>
              <w:bidi w:val="0"/>
              <w:jc w:val="center"/>
              <w:rPr>
                <w:rFonts w:hint="eastAsia" w:ascii="仿宋_GB2312" w:hAnsi="仿宋_GB2312" w:eastAsia="仿宋_GB2312" w:cs="仿宋_GB2312"/>
                <w:sz w:val="21"/>
                <w:szCs w:val="21"/>
                <w:highlight w:val="none"/>
              </w:rPr>
            </w:pPr>
          </w:p>
          <w:p>
            <w:pPr>
              <w:bidi w:val="0"/>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9" w:hRule="atLeast"/>
        </w:trPr>
        <w:tc>
          <w:tcPr>
            <w:tcW w:w="552" w:type="dxa"/>
            <w:vMerge w:val="continue"/>
            <w:vAlign w:val="center"/>
          </w:tcPr>
          <w:p>
            <w:pPr>
              <w:bidi w:val="0"/>
              <w:rPr>
                <w:rFonts w:hint="eastAsia" w:ascii="仿宋_GB2312" w:hAnsi="仿宋_GB2312" w:eastAsia="仿宋_GB2312" w:cs="仿宋_GB2312"/>
                <w:sz w:val="21"/>
                <w:szCs w:val="21"/>
                <w:highlight w:val="none"/>
              </w:rPr>
            </w:pPr>
          </w:p>
        </w:tc>
        <w:tc>
          <w:tcPr>
            <w:tcW w:w="546" w:type="dxa"/>
            <w:vMerge w:val="continue"/>
            <w:vAlign w:val="center"/>
          </w:tcPr>
          <w:p>
            <w:pPr>
              <w:bidi w:val="0"/>
              <w:rPr>
                <w:rFonts w:hint="eastAsia" w:ascii="仿宋_GB2312" w:hAnsi="仿宋_GB2312" w:eastAsia="仿宋_GB2312" w:cs="仿宋_GB2312"/>
                <w:sz w:val="21"/>
                <w:szCs w:val="21"/>
                <w:highlight w:val="none"/>
              </w:rPr>
            </w:pPr>
          </w:p>
        </w:tc>
        <w:tc>
          <w:tcPr>
            <w:tcW w:w="1058" w:type="dxa"/>
            <w:vAlign w:val="center"/>
          </w:tcPr>
          <w:p>
            <w:pPr>
              <w:bidi w:val="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执行预算绩效管理和资金管理办法</w:t>
            </w:r>
          </w:p>
        </w:tc>
        <w:tc>
          <w:tcPr>
            <w:tcW w:w="1307" w:type="dxa"/>
            <w:vAlign w:val="center"/>
          </w:tcPr>
          <w:p>
            <w:pPr>
              <w:bidi w:val="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决策符合预算绩效管理要求和资金管理办法</w:t>
            </w:r>
          </w:p>
        </w:tc>
        <w:tc>
          <w:tcPr>
            <w:tcW w:w="1145" w:type="dxa"/>
            <w:vAlign w:val="center"/>
          </w:tcPr>
          <w:p>
            <w:pPr>
              <w:bidi w:val="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决策符合预算绩效管理要求和资金管理办法</w:t>
            </w:r>
          </w:p>
        </w:tc>
        <w:tc>
          <w:tcPr>
            <w:tcW w:w="1037" w:type="dxa"/>
            <w:vAlign w:val="center"/>
          </w:tcPr>
          <w:p>
            <w:pPr>
              <w:bidi w:val="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决策符合预算绩效管理要求和资金管理办法</w:t>
            </w:r>
          </w:p>
        </w:tc>
        <w:tc>
          <w:tcPr>
            <w:tcW w:w="2581" w:type="dxa"/>
            <w:vAlign w:val="center"/>
          </w:tcPr>
          <w:p>
            <w:pPr>
              <w:bidi w:val="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①符合《国家医疗保障局关于全面实施预算绩效管理的意见》（1分）</w:t>
            </w:r>
          </w:p>
          <w:p>
            <w:pPr>
              <w:bidi w:val="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②符合《中央财政城乡居民基本医疗保险补助资金管理办法》以及各省市制定的相关管理办法（1分）</w:t>
            </w:r>
          </w:p>
        </w:tc>
        <w:tc>
          <w:tcPr>
            <w:tcW w:w="409" w:type="dxa"/>
            <w:vAlign w:val="center"/>
          </w:tcPr>
          <w:p>
            <w:pPr>
              <w:bidi w:val="0"/>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552" w:type="dxa"/>
            <w:vMerge w:val="continue"/>
            <w:vAlign w:val="center"/>
          </w:tcPr>
          <w:p>
            <w:pPr>
              <w:bidi w:val="0"/>
              <w:rPr>
                <w:rFonts w:hint="eastAsia" w:ascii="仿宋_GB2312" w:hAnsi="仿宋_GB2312" w:eastAsia="仿宋_GB2312" w:cs="仿宋_GB2312"/>
                <w:sz w:val="21"/>
                <w:szCs w:val="21"/>
                <w:highlight w:val="none"/>
              </w:rPr>
            </w:pPr>
          </w:p>
        </w:tc>
        <w:tc>
          <w:tcPr>
            <w:tcW w:w="546" w:type="dxa"/>
            <w:vAlign w:val="center"/>
          </w:tcPr>
          <w:p>
            <w:pPr>
              <w:bidi w:val="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决策过程</w:t>
            </w:r>
          </w:p>
        </w:tc>
        <w:tc>
          <w:tcPr>
            <w:tcW w:w="1058" w:type="dxa"/>
            <w:vAlign w:val="center"/>
          </w:tcPr>
          <w:p>
            <w:pPr>
              <w:bidi w:val="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决策程序规范</w:t>
            </w:r>
          </w:p>
        </w:tc>
        <w:tc>
          <w:tcPr>
            <w:tcW w:w="1307" w:type="dxa"/>
            <w:vAlign w:val="center"/>
          </w:tcPr>
          <w:p>
            <w:pPr>
              <w:bidi w:val="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程序合规完整</w:t>
            </w:r>
          </w:p>
        </w:tc>
        <w:tc>
          <w:tcPr>
            <w:tcW w:w="1145" w:type="dxa"/>
            <w:vAlign w:val="center"/>
          </w:tcPr>
          <w:p>
            <w:pPr>
              <w:bidi w:val="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程序合规完整</w:t>
            </w:r>
          </w:p>
        </w:tc>
        <w:tc>
          <w:tcPr>
            <w:tcW w:w="1037" w:type="dxa"/>
            <w:vAlign w:val="center"/>
          </w:tcPr>
          <w:p>
            <w:pPr>
              <w:bidi w:val="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程序合规完整</w:t>
            </w:r>
          </w:p>
        </w:tc>
        <w:tc>
          <w:tcPr>
            <w:tcW w:w="2581" w:type="dxa"/>
            <w:vAlign w:val="center"/>
          </w:tcPr>
          <w:p>
            <w:pPr>
              <w:bidi w:val="0"/>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z w:val="21"/>
                <w:szCs w:val="21"/>
                <w:highlight w:val="none"/>
              </w:rPr>
              <w:t>资金分配按规定履行报批程序，审批文件和手续齐全</w:t>
            </w:r>
          </w:p>
        </w:tc>
        <w:tc>
          <w:tcPr>
            <w:tcW w:w="409" w:type="dxa"/>
            <w:vAlign w:val="center"/>
          </w:tcPr>
          <w:p>
            <w:pPr>
              <w:bidi w:val="0"/>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0" w:hRule="atLeast"/>
        </w:trPr>
        <w:tc>
          <w:tcPr>
            <w:tcW w:w="552" w:type="dxa"/>
            <w:vMerge w:val="continue"/>
            <w:vAlign w:val="center"/>
          </w:tcPr>
          <w:p>
            <w:pPr>
              <w:bidi w:val="0"/>
              <w:rPr>
                <w:rFonts w:hint="eastAsia" w:ascii="仿宋_GB2312" w:hAnsi="仿宋_GB2312" w:eastAsia="仿宋_GB2312" w:cs="仿宋_GB2312"/>
                <w:sz w:val="21"/>
                <w:szCs w:val="21"/>
                <w:highlight w:val="none"/>
              </w:rPr>
            </w:pPr>
          </w:p>
        </w:tc>
        <w:tc>
          <w:tcPr>
            <w:tcW w:w="546" w:type="dxa"/>
            <w:vMerge w:val="restart"/>
            <w:vAlign w:val="center"/>
          </w:tcPr>
          <w:p>
            <w:pPr>
              <w:bidi w:val="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绩效目标</w:t>
            </w:r>
          </w:p>
        </w:tc>
        <w:tc>
          <w:tcPr>
            <w:tcW w:w="1058" w:type="dxa"/>
            <w:vAlign w:val="center"/>
          </w:tcPr>
          <w:p>
            <w:pPr>
              <w:bidi w:val="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绩效目标设置科学</w:t>
            </w:r>
          </w:p>
        </w:tc>
        <w:tc>
          <w:tcPr>
            <w:tcW w:w="1307" w:type="dxa"/>
            <w:vAlign w:val="center"/>
          </w:tcPr>
          <w:p>
            <w:pPr>
              <w:bidi w:val="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遵照财政部和国家医疗保障局下达的年度总体目标和具体绩效指标</w:t>
            </w:r>
          </w:p>
        </w:tc>
        <w:tc>
          <w:tcPr>
            <w:tcW w:w="1145" w:type="dxa"/>
            <w:vAlign w:val="center"/>
          </w:tcPr>
          <w:p>
            <w:pPr>
              <w:bidi w:val="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遵照财政部和国家医疗保障局下达的年度总体目标和具体绩效指标</w:t>
            </w:r>
          </w:p>
        </w:tc>
        <w:tc>
          <w:tcPr>
            <w:tcW w:w="1037" w:type="dxa"/>
            <w:vAlign w:val="center"/>
          </w:tcPr>
          <w:p>
            <w:pPr>
              <w:bidi w:val="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遵照财政部和国家医疗保障局下达的年度总体目标和具体绩效指标</w:t>
            </w:r>
          </w:p>
        </w:tc>
        <w:tc>
          <w:tcPr>
            <w:tcW w:w="2581" w:type="dxa"/>
            <w:vAlign w:val="center"/>
          </w:tcPr>
          <w:p>
            <w:pPr>
              <w:bidi w:val="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①体现“</w:t>
            </w:r>
            <w:r>
              <w:rPr>
                <w:rFonts w:hint="eastAsia" w:ascii="仿宋_GB2312" w:hAnsi="仿宋_GB2312" w:eastAsia="仿宋_GB2312" w:cs="仿宋_GB2312"/>
                <w:sz w:val="21"/>
                <w:szCs w:val="21"/>
                <w:highlight w:val="none"/>
                <w:lang w:val="en-US" w:eastAsia="zh-CN"/>
              </w:rPr>
              <w:t>巩固</w:t>
            </w:r>
            <w:r>
              <w:rPr>
                <w:rFonts w:hint="eastAsia" w:ascii="仿宋_GB2312" w:hAnsi="仿宋_GB2312" w:eastAsia="仿宋_GB2312" w:cs="仿宋_GB2312"/>
                <w:sz w:val="21"/>
                <w:szCs w:val="21"/>
                <w:highlight w:val="none"/>
              </w:rPr>
              <w:t>参保率、稳步提高保障水平、实现基金收支平衡”等年度总体目标的基本要素（2分）</w:t>
            </w:r>
          </w:p>
          <w:p>
            <w:pPr>
              <w:bidi w:val="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②明确产出指标、效益指标、满意度指标等绩效指标要求（2分）</w:t>
            </w:r>
          </w:p>
        </w:tc>
        <w:tc>
          <w:tcPr>
            <w:tcW w:w="409" w:type="dxa"/>
            <w:vAlign w:val="center"/>
          </w:tcPr>
          <w:p>
            <w:pPr>
              <w:bidi w:val="0"/>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trPr>
        <w:tc>
          <w:tcPr>
            <w:tcW w:w="552" w:type="dxa"/>
            <w:vMerge w:val="continue"/>
            <w:vAlign w:val="center"/>
          </w:tcPr>
          <w:p>
            <w:pPr>
              <w:pStyle w:val="17"/>
              <w:keepNext w:val="0"/>
              <w:keepLines w:val="0"/>
              <w:pageBreakBefore w:val="0"/>
              <w:wordWrap/>
              <w:overflowPunct/>
              <w:topLinePunct w:val="0"/>
              <w:bidi w:val="0"/>
              <w:spacing w:line="596" w:lineRule="exact"/>
              <w:jc w:val="center"/>
              <w:rPr>
                <w:rFonts w:asciiTheme="majorEastAsia" w:hAnsiTheme="majorEastAsia" w:eastAsiaTheme="majorEastAsia"/>
                <w:sz w:val="16"/>
                <w:szCs w:val="16"/>
                <w:highlight w:val="none"/>
              </w:rPr>
            </w:pPr>
          </w:p>
        </w:tc>
        <w:tc>
          <w:tcPr>
            <w:tcW w:w="546" w:type="dxa"/>
            <w:vMerge w:val="continue"/>
            <w:vAlign w:val="center"/>
          </w:tcPr>
          <w:p>
            <w:pPr>
              <w:pStyle w:val="17"/>
              <w:keepNext w:val="0"/>
              <w:keepLines w:val="0"/>
              <w:pageBreakBefore w:val="0"/>
              <w:wordWrap/>
              <w:overflowPunct/>
              <w:topLinePunct w:val="0"/>
              <w:bidi w:val="0"/>
              <w:spacing w:line="596" w:lineRule="exact"/>
              <w:jc w:val="center"/>
              <w:rPr>
                <w:rFonts w:asciiTheme="majorEastAsia" w:hAnsiTheme="majorEastAsia" w:eastAsiaTheme="majorEastAsia"/>
                <w:sz w:val="21"/>
                <w:szCs w:val="21"/>
                <w:highlight w:val="none"/>
              </w:rPr>
            </w:pPr>
          </w:p>
        </w:tc>
        <w:tc>
          <w:tcPr>
            <w:tcW w:w="1058"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绩效目标分解细化</w:t>
            </w:r>
          </w:p>
        </w:tc>
        <w:tc>
          <w:tcPr>
            <w:tcW w:w="1307"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对财政部和国家医疗保障局下达的年度总体目标结合实际进行分解细化</w:t>
            </w:r>
          </w:p>
        </w:tc>
        <w:tc>
          <w:tcPr>
            <w:tcW w:w="1145"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对财政部和国家医疗保障局下达的年度总体目标结合实际进行分解细化</w:t>
            </w:r>
          </w:p>
        </w:tc>
        <w:tc>
          <w:tcPr>
            <w:tcW w:w="1037"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sz w:val="21"/>
                <w:szCs w:val="21"/>
                <w:highlight w:val="none"/>
              </w:rPr>
              <w:t>对财政部和国家医疗保障局下达的年度总体目标结合实际进行分解细化</w:t>
            </w:r>
          </w:p>
        </w:tc>
        <w:tc>
          <w:tcPr>
            <w:tcW w:w="2581" w:type="dxa"/>
            <w:vAlign w:val="center"/>
          </w:tcPr>
          <w:p>
            <w:pPr>
              <w:bidi w:val="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①省级按照要求同步细化分解下达绩效目标（1分）</w:t>
            </w:r>
          </w:p>
          <w:p>
            <w:pPr>
              <w:bidi w:val="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②细化分解下达的绩效目标与财政部和国家医保局要求一致（1分）</w:t>
            </w:r>
          </w:p>
        </w:tc>
        <w:tc>
          <w:tcPr>
            <w:tcW w:w="409"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552" w:type="dxa"/>
            <w:vMerge w:val="continue"/>
            <w:vAlign w:val="center"/>
          </w:tcPr>
          <w:p>
            <w:pPr>
              <w:pStyle w:val="17"/>
              <w:keepNext w:val="0"/>
              <w:keepLines w:val="0"/>
              <w:pageBreakBefore w:val="0"/>
              <w:wordWrap/>
              <w:overflowPunct/>
              <w:topLinePunct w:val="0"/>
              <w:bidi w:val="0"/>
              <w:spacing w:line="596" w:lineRule="exact"/>
              <w:jc w:val="center"/>
              <w:rPr>
                <w:rFonts w:asciiTheme="majorEastAsia" w:hAnsiTheme="majorEastAsia" w:eastAsiaTheme="majorEastAsia"/>
                <w:sz w:val="16"/>
                <w:szCs w:val="16"/>
                <w:highlight w:val="none"/>
              </w:rPr>
            </w:pPr>
          </w:p>
        </w:tc>
        <w:tc>
          <w:tcPr>
            <w:tcW w:w="546" w:type="dxa"/>
            <w:vMerge w:val="restart"/>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资金分配</w:t>
            </w:r>
          </w:p>
        </w:tc>
        <w:tc>
          <w:tcPr>
            <w:tcW w:w="1058"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资金分配规范性</w:t>
            </w:r>
          </w:p>
        </w:tc>
        <w:tc>
          <w:tcPr>
            <w:tcW w:w="1307"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按规定时限分配下达资金</w:t>
            </w:r>
          </w:p>
        </w:tc>
        <w:tc>
          <w:tcPr>
            <w:tcW w:w="1145"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b/>
                <w:bCs/>
                <w:sz w:val="21"/>
                <w:szCs w:val="21"/>
                <w:highlight w:val="none"/>
                <w:lang w:val="en-US" w:eastAsia="zh-CN"/>
              </w:rPr>
            </w:pPr>
            <w:r>
              <w:rPr>
                <w:rFonts w:hint="eastAsia" w:ascii="仿宋_GB2312" w:hAnsi="仿宋_GB2312" w:eastAsia="仿宋_GB2312" w:cs="仿宋_GB2312"/>
                <w:sz w:val="21"/>
                <w:szCs w:val="21"/>
                <w:highlight w:val="none"/>
              </w:rPr>
              <w:t>按规定时限分配下达资金</w:t>
            </w:r>
          </w:p>
        </w:tc>
        <w:tc>
          <w:tcPr>
            <w:tcW w:w="1037"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b/>
                <w:bCs/>
                <w:sz w:val="21"/>
                <w:szCs w:val="21"/>
                <w:highlight w:val="none"/>
                <w:lang w:val="en-US" w:eastAsia="zh-CN"/>
              </w:rPr>
            </w:pPr>
            <w:r>
              <w:rPr>
                <w:rFonts w:hint="eastAsia" w:ascii="仿宋_GB2312" w:hAnsi="仿宋_GB2312" w:eastAsia="仿宋_GB2312" w:cs="仿宋_GB2312"/>
                <w:sz w:val="21"/>
                <w:szCs w:val="21"/>
                <w:highlight w:val="none"/>
              </w:rPr>
              <w:t>中央及</w:t>
            </w:r>
            <w:r>
              <w:rPr>
                <w:rFonts w:hint="eastAsia" w:ascii="仿宋_GB2312" w:hAnsi="仿宋_GB2312" w:eastAsia="仿宋_GB2312" w:cs="仿宋_GB2312"/>
                <w:sz w:val="21"/>
                <w:szCs w:val="21"/>
                <w:highlight w:val="none"/>
                <w:lang w:val="en-US" w:eastAsia="zh-CN"/>
              </w:rPr>
              <w:t>省级</w:t>
            </w:r>
            <w:r>
              <w:rPr>
                <w:rFonts w:hint="eastAsia" w:ascii="仿宋_GB2312" w:hAnsi="仿宋_GB2312" w:eastAsia="仿宋_GB2312" w:cs="仿宋_GB2312"/>
                <w:sz w:val="21"/>
                <w:szCs w:val="21"/>
                <w:highlight w:val="none"/>
              </w:rPr>
              <w:t>财政补助资金，在每年12月底前全部支付至统筹地区医保基金财政专户</w:t>
            </w:r>
          </w:p>
        </w:tc>
        <w:tc>
          <w:tcPr>
            <w:tcW w:w="2581" w:type="dxa"/>
            <w:vAlign w:val="center"/>
          </w:tcPr>
          <w:p>
            <w:pPr>
              <w:bidi w:val="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①省级财政部门收到中央财政转移支付资金预算后,在30日内会同医保部门正式下达到本行政区域县级以上各级财政部门和医保部门（2分）</w:t>
            </w:r>
          </w:p>
          <w:p>
            <w:pPr>
              <w:bidi w:val="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②中央及地方财政补助资金，在每年12月底前全部支付至统筹地区医保基金财政专户（</w:t>
            </w:r>
            <w:r>
              <w:rPr>
                <w:rFonts w:hint="eastAsia" w:ascii="仿宋_GB2312" w:hAnsi="仿宋_GB2312" w:eastAsia="仿宋_GB2312" w:cs="仿宋_GB2312"/>
                <w:sz w:val="21"/>
                <w:szCs w:val="21"/>
                <w:highlight w:val="none"/>
                <w:lang w:val="en-US" w:eastAsia="zh-CN"/>
              </w:rPr>
              <w:t>2</w:t>
            </w:r>
            <w:r>
              <w:rPr>
                <w:rFonts w:hint="eastAsia" w:ascii="仿宋_GB2312" w:hAnsi="仿宋_GB2312" w:eastAsia="仿宋_GB2312" w:cs="仿宋_GB2312"/>
                <w:sz w:val="21"/>
                <w:szCs w:val="21"/>
                <w:highlight w:val="none"/>
              </w:rPr>
              <w:t>分）</w:t>
            </w:r>
          </w:p>
        </w:tc>
        <w:tc>
          <w:tcPr>
            <w:tcW w:w="409"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z w:val="21"/>
                <w:szCs w:val="21"/>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552" w:type="dxa"/>
            <w:vMerge w:val="continue"/>
            <w:vAlign w:val="center"/>
          </w:tcPr>
          <w:p>
            <w:pPr>
              <w:pStyle w:val="17"/>
              <w:keepNext w:val="0"/>
              <w:keepLines w:val="0"/>
              <w:pageBreakBefore w:val="0"/>
              <w:wordWrap/>
              <w:overflowPunct/>
              <w:topLinePunct w:val="0"/>
              <w:bidi w:val="0"/>
              <w:spacing w:line="596" w:lineRule="exact"/>
              <w:jc w:val="center"/>
              <w:rPr>
                <w:rFonts w:asciiTheme="majorEastAsia" w:hAnsiTheme="majorEastAsia" w:eastAsiaTheme="majorEastAsia"/>
                <w:sz w:val="16"/>
                <w:szCs w:val="16"/>
                <w:highlight w:val="none"/>
              </w:rPr>
            </w:pPr>
          </w:p>
        </w:tc>
        <w:tc>
          <w:tcPr>
            <w:tcW w:w="546" w:type="dxa"/>
            <w:vMerge w:val="continue"/>
            <w:vAlign w:val="center"/>
          </w:tcPr>
          <w:p>
            <w:pPr>
              <w:pStyle w:val="17"/>
              <w:keepNext w:val="0"/>
              <w:keepLines w:val="0"/>
              <w:pageBreakBefore w:val="0"/>
              <w:wordWrap/>
              <w:overflowPunct/>
              <w:topLinePunct w:val="0"/>
              <w:bidi w:val="0"/>
              <w:spacing w:line="596" w:lineRule="exact"/>
              <w:jc w:val="center"/>
              <w:rPr>
                <w:rFonts w:hint="eastAsia" w:ascii="仿宋_GB2312" w:hAnsi="仿宋_GB2312" w:eastAsia="仿宋_GB2312" w:cs="仿宋_GB2312"/>
                <w:sz w:val="21"/>
                <w:szCs w:val="21"/>
                <w:highlight w:val="none"/>
              </w:rPr>
            </w:pPr>
          </w:p>
        </w:tc>
        <w:tc>
          <w:tcPr>
            <w:tcW w:w="1058"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资金分配合理性</w:t>
            </w:r>
          </w:p>
        </w:tc>
        <w:tc>
          <w:tcPr>
            <w:tcW w:w="1307"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符合预算管理和城乡居民基本医疗保险补助资金管理要求</w:t>
            </w:r>
          </w:p>
        </w:tc>
        <w:tc>
          <w:tcPr>
            <w:tcW w:w="1145"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符合预算管理和城乡居民基本医疗保险补助资金管理要求</w:t>
            </w:r>
          </w:p>
        </w:tc>
        <w:tc>
          <w:tcPr>
            <w:tcW w:w="1037"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符合预算管理和城乡居民基本医疗保险补助资金管理要求</w:t>
            </w:r>
          </w:p>
        </w:tc>
        <w:tc>
          <w:tcPr>
            <w:tcW w:w="2581" w:type="dxa"/>
            <w:vAlign w:val="center"/>
          </w:tcPr>
          <w:p>
            <w:pPr>
              <w:bidi w:val="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①资金分配方案符合财政部和国家医疗保障局下达的文件要求（1分）</w:t>
            </w:r>
          </w:p>
          <w:p>
            <w:pPr>
              <w:bidi w:val="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②分配方法、支出内容符合省级实施细则要求（1分）</w:t>
            </w:r>
          </w:p>
          <w:p>
            <w:pPr>
              <w:bidi w:val="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③资金分配与绩效评价结果挂钩（</w:t>
            </w:r>
            <w:r>
              <w:rPr>
                <w:rFonts w:hint="eastAsia" w:ascii="仿宋_GB2312" w:hAnsi="仿宋_GB2312" w:eastAsia="仿宋_GB2312" w:cs="仿宋_GB2312"/>
                <w:sz w:val="21"/>
                <w:szCs w:val="21"/>
                <w:highlight w:val="none"/>
                <w:lang w:val="en-US" w:eastAsia="zh-CN"/>
              </w:rPr>
              <w:t>3</w:t>
            </w:r>
            <w:r>
              <w:rPr>
                <w:rFonts w:hint="eastAsia" w:ascii="仿宋_GB2312" w:hAnsi="仿宋_GB2312" w:eastAsia="仿宋_GB2312" w:cs="仿宋_GB2312"/>
                <w:sz w:val="21"/>
                <w:szCs w:val="21"/>
                <w:highlight w:val="none"/>
              </w:rPr>
              <w:t>分）</w:t>
            </w:r>
          </w:p>
        </w:tc>
        <w:tc>
          <w:tcPr>
            <w:tcW w:w="409"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z w:val="21"/>
                <w:szCs w:val="21"/>
                <w:highlight w:val="none"/>
                <w:lang w:val="en-US" w:eastAsia="zh-CN"/>
              </w:rPr>
              <w:t>5</w:t>
            </w:r>
          </w:p>
        </w:tc>
      </w:tr>
    </w:tbl>
    <w:p>
      <w:pPr>
        <w:spacing w:line="600" w:lineRule="exact"/>
        <w:ind w:firstLine="640" w:firstLineChars="200"/>
        <w:rPr>
          <w:rFonts w:hint="eastAsia" w:ascii="方正仿宋_GB2312" w:hAnsi="方正仿宋_GB2312" w:eastAsia="方正仿宋_GB2312" w:cs="方正仿宋_GB2312"/>
          <w:sz w:val="32"/>
          <w:szCs w:val="44"/>
          <w:highlight w:val="none"/>
        </w:rPr>
      </w:pPr>
      <w:r>
        <w:rPr>
          <w:rFonts w:hint="eastAsia" w:ascii="方正仿宋_GB2312" w:hAnsi="方正仿宋_GB2312" w:eastAsia="方正仿宋_GB2312" w:cs="方正仿宋_GB2312"/>
          <w:sz w:val="32"/>
          <w:szCs w:val="44"/>
          <w:highlight w:val="none"/>
        </w:rPr>
        <w:t>（1）得分原因：</w:t>
      </w:r>
    </w:p>
    <w:p>
      <w:pPr>
        <w:pStyle w:val="4"/>
        <w:spacing w:line="600" w:lineRule="exact"/>
        <w:ind w:firstLine="600"/>
        <w:rPr>
          <w:rFonts w:hint="eastAsia" w:ascii="方正仿宋_GB2312" w:hAnsi="方正仿宋_GB2312" w:eastAsia="方正仿宋_GB2312" w:cs="方正仿宋_GB2312"/>
          <w:kern w:val="2"/>
          <w:sz w:val="32"/>
          <w:szCs w:val="36"/>
          <w:highlight w:val="none"/>
          <w:lang w:val="en-US" w:eastAsia="zh-CN" w:bidi="ar-SA"/>
        </w:rPr>
      </w:pPr>
      <w:r>
        <w:rPr>
          <w:rFonts w:hint="eastAsia" w:ascii="方正仿宋_GB2312" w:hAnsi="方正仿宋_GB2312" w:eastAsia="方正仿宋_GB2312" w:cs="方正仿宋_GB2312"/>
          <w:kern w:val="2"/>
          <w:sz w:val="32"/>
          <w:szCs w:val="36"/>
          <w:highlight w:val="none"/>
          <w:lang w:val="en-US" w:eastAsia="zh-CN" w:bidi="ar-SA"/>
        </w:rPr>
        <w:t>①项目立项依据中央和国务院深化医疗保障制度改革的意见进行决策，决策符合预算绩效管理要求和基金管理办法;②项目立项与部门职能相符性高;</w:t>
      </w:r>
      <w:r>
        <w:rPr>
          <w:rFonts w:hint="eastAsia" w:ascii="方正仿宋_GB2312" w:hAnsi="方正仿宋_GB2312" w:eastAsia="方正仿宋_GB2312" w:cs="方正仿宋_GB2312"/>
          <w:kern w:val="2"/>
          <w:sz w:val="32"/>
          <w:szCs w:val="36"/>
          <w:highlight w:val="none"/>
          <w:lang w:val="en-US" w:eastAsia="zh-CN" w:bidi="ar-SA"/>
        </w:rPr>
        <w:fldChar w:fldCharType="begin"/>
      </w:r>
      <w:r>
        <w:rPr>
          <w:rFonts w:hint="eastAsia" w:ascii="方正仿宋_GB2312" w:hAnsi="方正仿宋_GB2312" w:eastAsia="方正仿宋_GB2312" w:cs="方正仿宋_GB2312"/>
          <w:kern w:val="2"/>
          <w:sz w:val="32"/>
          <w:szCs w:val="36"/>
          <w:highlight w:val="none"/>
          <w:lang w:val="en-US" w:eastAsia="zh-CN" w:bidi="ar-SA"/>
        </w:rPr>
        <w:instrText xml:space="preserve"> = 3 \* GB3 </w:instrText>
      </w:r>
      <w:r>
        <w:rPr>
          <w:rFonts w:hint="eastAsia" w:ascii="方正仿宋_GB2312" w:hAnsi="方正仿宋_GB2312" w:eastAsia="方正仿宋_GB2312" w:cs="方正仿宋_GB2312"/>
          <w:kern w:val="2"/>
          <w:sz w:val="32"/>
          <w:szCs w:val="36"/>
          <w:highlight w:val="none"/>
          <w:lang w:val="en-US" w:eastAsia="zh-CN" w:bidi="ar-SA"/>
        </w:rPr>
        <w:fldChar w:fldCharType="separate"/>
      </w:r>
      <w:r>
        <w:rPr>
          <w:rFonts w:hint="eastAsia" w:ascii="方正仿宋_GB2312" w:hAnsi="方正仿宋_GB2312" w:eastAsia="方正仿宋_GB2312" w:cs="方正仿宋_GB2312"/>
          <w:kern w:val="2"/>
          <w:sz w:val="32"/>
          <w:szCs w:val="36"/>
          <w:highlight w:val="none"/>
          <w:lang w:val="en-US" w:eastAsia="zh-CN" w:bidi="ar-SA"/>
        </w:rPr>
        <w:t>③</w:t>
      </w:r>
      <w:r>
        <w:rPr>
          <w:rFonts w:hint="eastAsia" w:ascii="方正仿宋_GB2312" w:hAnsi="方正仿宋_GB2312" w:eastAsia="方正仿宋_GB2312" w:cs="方正仿宋_GB2312"/>
          <w:kern w:val="2"/>
          <w:sz w:val="32"/>
          <w:szCs w:val="36"/>
          <w:highlight w:val="none"/>
          <w:lang w:val="en-US" w:eastAsia="zh-CN" w:bidi="ar-SA"/>
        </w:rPr>
        <w:fldChar w:fldCharType="end"/>
      </w:r>
      <w:r>
        <w:rPr>
          <w:rFonts w:hint="eastAsia" w:ascii="方正仿宋_GB2312" w:hAnsi="方正仿宋_GB2312" w:eastAsia="方正仿宋_GB2312" w:cs="方正仿宋_GB2312"/>
          <w:kern w:val="2"/>
          <w:sz w:val="32"/>
          <w:szCs w:val="36"/>
          <w:highlight w:val="none"/>
          <w:lang w:val="en-US" w:eastAsia="zh-CN" w:bidi="ar-SA"/>
        </w:rPr>
        <w:t>资金分配按照规定履行报批程序，审批文件和手续齐全，下达预算指标的同时绩效目标明确。</w:t>
      </w:r>
    </w:p>
    <w:p>
      <w:pPr>
        <w:spacing w:line="600" w:lineRule="exact"/>
        <w:ind w:firstLine="640" w:firstLineChars="200"/>
        <w:rPr>
          <w:rFonts w:hint="eastAsia" w:ascii="方正仿宋_GB2312" w:hAnsi="方正仿宋_GB2312" w:eastAsia="方正仿宋_GB2312" w:cs="方正仿宋_GB2312"/>
          <w:kern w:val="2"/>
          <w:sz w:val="32"/>
          <w:szCs w:val="36"/>
          <w:highlight w:val="none"/>
          <w:lang w:val="en-US" w:eastAsia="zh-CN" w:bidi="ar-SA"/>
        </w:rPr>
      </w:pPr>
      <w:r>
        <w:rPr>
          <w:rFonts w:hint="eastAsia" w:ascii="方正仿宋_GB2312" w:hAnsi="方正仿宋_GB2312" w:eastAsia="方正仿宋_GB2312" w:cs="方正仿宋_GB2312"/>
          <w:kern w:val="2"/>
          <w:sz w:val="32"/>
          <w:szCs w:val="36"/>
          <w:highlight w:val="none"/>
          <w:lang w:val="en-US" w:eastAsia="zh-CN" w:bidi="ar-SA"/>
        </w:rPr>
        <w:t>（2）失分原因：</w:t>
      </w:r>
    </w:p>
    <w:p>
      <w:pPr>
        <w:pStyle w:val="4"/>
        <w:spacing w:line="600" w:lineRule="exact"/>
        <w:rPr>
          <w:rFonts w:hint="eastAsia" w:ascii="方正仿宋_GB2312" w:hAnsi="方正仿宋_GB2312" w:eastAsia="方正仿宋_GB2312" w:cs="方正仿宋_GB2312"/>
          <w:kern w:val="2"/>
          <w:sz w:val="32"/>
          <w:szCs w:val="36"/>
          <w:highlight w:val="none"/>
          <w:lang w:val="en-US" w:eastAsia="zh-CN" w:bidi="ar-SA"/>
        </w:rPr>
      </w:pPr>
      <w:r>
        <w:rPr>
          <w:rFonts w:hint="eastAsia" w:ascii="方正仿宋_GB2312" w:hAnsi="方正仿宋_GB2312" w:eastAsia="方正仿宋_GB2312" w:cs="方正仿宋_GB2312"/>
          <w:kern w:val="2"/>
          <w:sz w:val="32"/>
          <w:szCs w:val="36"/>
          <w:highlight w:val="none"/>
          <w:lang w:val="en-US" w:eastAsia="zh-CN" w:bidi="ar-SA"/>
        </w:rPr>
        <w:t>无。</w:t>
      </w:r>
    </w:p>
    <w:p>
      <w:pPr>
        <w:pStyle w:val="29"/>
        <w:spacing w:after="0" w:line="600" w:lineRule="exact"/>
        <w:ind w:firstLine="640" w:firstLineChars="200"/>
        <w:rPr>
          <w:rFonts w:hint="eastAsia" w:ascii="方正仿宋_GB2312" w:hAnsi="方正仿宋_GB2312" w:eastAsia="方正仿宋_GB2312" w:cs="方正仿宋_GB2312"/>
          <w:kern w:val="2"/>
          <w:sz w:val="32"/>
          <w:szCs w:val="36"/>
          <w:highlight w:val="none"/>
          <w:lang w:val="en-US" w:eastAsia="zh-CN" w:bidi="ar-SA"/>
        </w:rPr>
      </w:pPr>
      <w:r>
        <w:rPr>
          <w:rFonts w:hint="eastAsia" w:ascii="方正仿宋_GB2312" w:hAnsi="方正仿宋_GB2312" w:eastAsia="方正仿宋_GB2312" w:cs="方正仿宋_GB2312"/>
          <w:kern w:val="2"/>
          <w:sz w:val="32"/>
          <w:szCs w:val="36"/>
          <w:highlight w:val="none"/>
          <w:lang w:val="en-US" w:eastAsia="zh-CN" w:bidi="ar-SA"/>
        </w:rPr>
        <w:t>2.过程管理指标分值20分，实际得分20.00分、失分0.00分，得分率100.00%。过程管理指标得分情况如下表所示：</w:t>
      </w:r>
    </w:p>
    <w:tbl>
      <w:tblPr>
        <w:tblStyle w:val="14"/>
        <w:tblW w:w="92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2"/>
        <w:gridCol w:w="585"/>
        <w:gridCol w:w="1205"/>
        <w:gridCol w:w="1307"/>
        <w:gridCol w:w="1464"/>
        <w:gridCol w:w="898"/>
        <w:gridCol w:w="2767"/>
        <w:gridCol w:w="4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592" w:type="dxa"/>
            <w:vMerge w:val="restart"/>
            <w:vAlign w:val="center"/>
          </w:tcPr>
          <w:p>
            <w:pPr>
              <w:bidi w:val="0"/>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过程</w:t>
            </w:r>
          </w:p>
          <w:p>
            <w:pPr>
              <w:bidi w:val="0"/>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管理</w:t>
            </w:r>
          </w:p>
          <w:p>
            <w:pPr>
              <w:bidi w:val="0"/>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w:t>
            </w:r>
            <w:r>
              <w:rPr>
                <w:rFonts w:hint="eastAsia" w:ascii="仿宋_GB2312" w:hAnsi="仿宋_GB2312" w:eastAsia="仿宋_GB2312" w:cs="仿宋_GB2312"/>
                <w:sz w:val="21"/>
                <w:szCs w:val="21"/>
                <w:highlight w:val="none"/>
                <w:lang w:val="en-US" w:eastAsia="zh-CN"/>
              </w:rPr>
              <w:t>0</w:t>
            </w:r>
            <w:r>
              <w:rPr>
                <w:rFonts w:hint="eastAsia" w:ascii="仿宋_GB2312" w:hAnsi="仿宋_GB2312" w:eastAsia="仿宋_GB2312" w:cs="仿宋_GB2312"/>
                <w:sz w:val="21"/>
                <w:szCs w:val="21"/>
                <w:highlight w:val="none"/>
              </w:rPr>
              <w:t>分)</w:t>
            </w:r>
          </w:p>
        </w:tc>
        <w:tc>
          <w:tcPr>
            <w:tcW w:w="585" w:type="dxa"/>
            <w:vMerge w:val="restart"/>
            <w:vAlign w:val="center"/>
          </w:tcPr>
          <w:p>
            <w:pPr>
              <w:bidi w:val="0"/>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资金管理</w:t>
            </w:r>
          </w:p>
        </w:tc>
        <w:tc>
          <w:tcPr>
            <w:tcW w:w="1205"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基金使用合规性</w:t>
            </w:r>
          </w:p>
        </w:tc>
        <w:tc>
          <w:tcPr>
            <w:tcW w:w="1307"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专账核算专款专用</w:t>
            </w:r>
          </w:p>
        </w:tc>
        <w:tc>
          <w:tcPr>
            <w:tcW w:w="1464"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专账核算专款专用</w:t>
            </w:r>
          </w:p>
        </w:tc>
        <w:tc>
          <w:tcPr>
            <w:tcW w:w="898"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专账核算专款专用</w:t>
            </w:r>
          </w:p>
        </w:tc>
        <w:tc>
          <w:tcPr>
            <w:tcW w:w="2767" w:type="dxa"/>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统筹地区医保财政专户专账核算、专款专用（3分），达不到其中1项的扣2分，扣完为止</w:t>
            </w:r>
          </w:p>
        </w:tc>
        <w:tc>
          <w:tcPr>
            <w:tcW w:w="438"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6" w:hRule="atLeast"/>
        </w:trPr>
        <w:tc>
          <w:tcPr>
            <w:tcW w:w="592" w:type="dxa"/>
            <w:vMerge w:val="continue"/>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1"/>
                <w:szCs w:val="21"/>
                <w:highlight w:val="none"/>
              </w:rPr>
            </w:pPr>
          </w:p>
        </w:tc>
        <w:tc>
          <w:tcPr>
            <w:tcW w:w="585" w:type="dxa"/>
            <w:vMerge w:val="continue"/>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rPr>
            </w:pPr>
          </w:p>
        </w:tc>
        <w:tc>
          <w:tcPr>
            <w:tcW w:w="1205"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市地级统筹实现程度</w:t>
            </w:r>
          </w:p>
        </w:tc>
        <w:tc>
          <w:tcPr>
            <w:tcW w:w="1307"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做实市地级统筹</w:t>
            </w:r>
          </w:p>
        </w:tc>
        <w:tc>
          <w:tcPr>
            <w:tcW w:w="1464"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val="en-US" w:eastAsia="zh-CN"/>
              </w:rPr>
              <w:t>做实市地级统筹</w:t>
            </w:r>
          </w:p>
        </w:tc>
        <w:tc>
          <w:tcPr>
            <w:tcW w:w="898"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val="en-US" w:eastAsia="zh-CN"/>
              </w:rPr>
              <w:t>做实市地级统筹</w:t>
            </w:r>
          </w:p>
        </w:tc>
        <w:tc>
          <w:tcPr>
            <w:tcW w:w="2767" w:type="dxa"/>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满分：全部地市实行市地级基金统收统支(2分)</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合格：个别地方实行市地内基金调剂，且发挥实际作用(1.2分)</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零分:个别地方实行市地内基金调剂，但未发挥作用（0分）</w:t>
            </w:r>
          </w:p>
        </w:tc>
        <w:tc>
          <w:tcPr>
            <w:tcW w:w="438"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1" w:hRule="atLeast"/>
        </w:trPr>
        <w:tc>
          <w:tcPr>
            <w:tcW w:w="592" w:type="dxa"/>
            <w:vMerge w:val="continue"/>
            <w:vAlign w:val="center"/>
          </w:tcPr>
          <w:p>
            <w:pPr>
              <w:pStyle w:val="17"/>
              <w:keepNext w:val="0"/>
              <w:keepLines w:val="0"/>
              <w:pageBreakBefore w:val="0"/>
              <w:wordWrap/>
              <w:overflowPunct/>
              <w:topLinePunct w:val="0"/>
              <w:bidi w:val="0"/>
              <w:spacing w:line="596" w:lineRule="exact"/>
              <w:jc w:val="center"/>
              <w:rPr>
                <w:rFonts w:asciiTheme="majorEastAsia" w:hAnsiTheme="majorEastAsia" w:eastAsiaTheme="majorEastAsia"/>
                <w:sz w:val="21"/>
                <w:szCs w:val="21"/>
                <w:highlight w:val="none"/>
              </w:rPr>
            </w:pPr>
          </w:p>
        </w:tc>
        <w:tc>
          <w:tcPr>
            <w:tcW w:w="585" w:type="dxa"/>
            <w:vMerge w:val="continue"/>
            <w:vAlign w:val="center"/>
          </w:tcPr>
          <w:p>
            <w:pPr>
              <w:pStyle w:val="17"/>
              <w:keepNext w:val="0"/>
              <w:keepLines w:val="0"/>
              <w:pageBreakBefore w:val="0"/>
              <w:wordWrap/>
              <w:overflowPunct/>
              <w:topLinePunct w:val="0"/>
              <w:bidi w:val="0"/>
              <w:spacing w:line="596" w:lineRule="exact"/>
              <w:jc w:val="center"/>
              <w:rPr>
                <w:rFonts w:asciiTheme="majorEastAsia" w:hAnsiTheme="majorEastAsia" w:eastAsiaTheme="majorEastAsia"/>
                <w:sz w:val="21"/>
                <w:szCs w:val="21"/>
                <w:highlight w:val="none"/>
              </w:rPr>
            </w:pPr>
          </w:p>
        </w:tc>
        <w:tc>
          <w:tcPr>
            <w:tcW w:w="1205"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基金监管有效性</w:t>
            </w:r>
          </w:p>
        </w:tc>
        <w:tc>
          <w:tcPr>
            <w:tcW w:w="1307"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default"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全面提升基金监管综合能力</w:t>
            </w:r>
          </w:p>
        </w:tc>
        <w:tc>
          <w:tcPr>
            <w:tcW w:w="1464"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val="en-US" w:eastAsia="zh-CN"/>
              </w:rPr>
              <w:t>全面提升基金监管综合能力</w:t>
            </w:r>
          </w:p>
        </w:tc>
        <w:tc>
          <w:tcPr>
            <w:tcW w:w="898"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val="en-US" w:eastAsia="zh-CN"/>
              </w:rPr>
              <w:t>全面提升基金监管综合能力</w:t>
            </w:r>
          </w:p>
        </w:tc>
        <w:tc>
          <w:tcPr>
            <w:tcW w:w="2767" w:type="dxa"/>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按照《国家医疗保障局关于做好基金监管综合评价工作的通知》（医保发〔2022〕31号）进行综合评价</w:t>
            </w:r>
          </w:p>
        </w:tc>
        <w:tc>
          <w:tcPr>
            <w:tcW w:w="438" w:type="dxa"/>
            <w:vAlign w:val="center"/>
          </w:tcPr>
          <w:p>
            <w:pPr>
              <w:keepNext w:val="0"/>
              <w:keepLines w:val="0"/>
              <w:pageBreakBefore w:val="0"/>
              <w:widowControl/>
              <w:kinsoku/>
              <w:wordWrap/>
              <w:overflowPunct/>
              <w:topLinePunct w:val="0"/>
              <w:autoSpaceDE/>
              <w:autoSpaceDN/>
              <w:bidi w:val="0"/>
              <w:adjustRightInd/>
              <w:snapToGrid/>
              <w:spacing w:before="59" w:line="240" w:lineRule="exact"/>
              <w:jc w:val="center"/>
              <w:textAlignment w:val="auto"/>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z w:val="21"/>
                <w:szCs w:val="21"/>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8" w:hRule="atLeast"/>
        </w:trPr>
        <w:tc>
          <w:tcPr>
            <w:tcW w:w="592" w:type="dxa"/>
            <w:vMerge w:val="continue"/>
            <w:vAlign w:val="center"/>
          </w:tcPr>
          <w:p>
            <w:pPr>
              <w:pStyle w:val="17"/>
              <w:keepNext w:val="0"/>
              <w:keepLines w:val="0"/>
              <w:pageBreakBefore w:val="0"/>
              <w:wordWrap/>
              <w:overflowPunct/>
              <w:topLinePunct w:val="0"/>
              <w:bidi w:val="0"/>
              <w:spacing w:line="596" w:lineRule="exact"/>
              <w:jc w:val="center"/>
              <w:rPr>
                <w:rFonts w:asciiTheme="majorEastAsia" w:hAnsiTheme="majorEastAsia" w:eastAsiaTheme="majorEastAsia"/>
                <w:sz w:val="21"/>
                <w:szCs w:val="21"/>
                <w:highlight w:val="none"/>
              </w:rPr>
            </w:pPr>
          </w:p>
        </w:tc>
        <w:tc>
          <w:tcPr>
            <w:tcW w:w="585" w:type="dxa"/>
            <w:vMerge w:val="restart"/>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heme="majorEastAsia" w:hAnsiTheme="majorEastAsia" w:eastAsiaTheme="majorEastAsia"/>
                <w:sz w:val="21"/>
                <w:szCs w:val="21"/>
                <w:highlight w:val="none"/>
              </w:rPr>
            </w:pPr>
            <w:r>
              <w:rPr>
                <w:rFonts w:hint="eastAsia" w:ascii="仿宋_GB2312" w:hAnsi="仿宋_GB2312" w:eastAsia="仿宋_GB2312" w:cs="仿宋_GB2312"/>
                <w:sz w:val="21"/>
                <w:szCs w:val="21"/>
                <w:highlight w:val="none"/>
              </w:rPr>
              <w:t>组织管理</w:t>
            </w:r>
          </w:p>
        </w:tc>
        <w:tc>
          <w:tcPr>
            <w:tcW w:w="1205"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定点医药机构规范性</w:t>
            </w:r>
          </w:p>
        </w:tc>
        <w:tc>
          <w:tcPr>
            <w:tcW w:w="1307"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协议管理严格监管</w:t>
            </w:r>
          </w:p>
        </w:tc>
        <w:tc>
          <w:tcPr>
            <w:tcW w:w="1464"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协议管理严格监管</w:t>
            </w:r>
          </w:p>
        </w:tc>
        <w:tc>
          <w:tcPr>
            <w:tcW w:w="898"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协议管理严格监管</w:t>
            </w:r>
          </w:p>
        </w:tc>
        <w:tc>
          <w:tcPr>
            <w:tcW w:w="2767" w:type="dxa"/>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①实行协议管理(1分)</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②建立考核评价机制(1分)</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③建立动态准入和退出机制(1分)</w:t>
            </w:r>
          </w:p>
        </w:tc>
        <w:tc>
          <w:tcPr>
            <w:tcW w:w="438"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592" w:type="dxa"/>
            <w:vMerge w:val="continue"/>
            <w:vAlign w:val="center"/>
          </w:tcPr>
          <w:p>
            <w:pPr>
              <w:pStyle w:val="17"/>
              <w:keepNext w:val="0"/>
              <w:keepLines w:val="0"/>
              <w:pageBreakBefore w:val="0"/>
              <w:wordWrap/>
              <w:overflowPunct/>
              <w:topLinePunct w:val="0"/>
              <w:bidi w:val="0"/>
              <w:spacing w:line="596" w:lineRule="exact"/>
              <w:jc w:val="center"/>
              <w:rPr>
                <w:rFonts w:asciiTheme="majorEastAsia" w:hAnsiTheme="majorEastAsia" w:eastAsiaTheme="majorEastAsia"/>
                <w:sz w:val="21"/>
                <w:szCs w:val="21"/>
                <w:highlight w:val="none"/>
              </w:rPr>
            </w:pPr>
          </w:p>
        </w:tc>
        <w:tc>
          <w:tcPr>
            <w:tcW w:w="585" w:type="dxa"/>
            <w:vMerge w:val="continue"/>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heme="majorEastAsia" w:hAnsiTheme="majorEastAsia" w:eastAsiaTheme="majorEastAsia"/>
                <w:sz w:val="21"/>
                <w:szCs w:val="21"/>
                <w:highlight w:val="none"/>
              </w:rPr>
            </w:pPr>
          </w:p>
        </w:tc>
        <w:tc>
          <w:tcPr>
            <w:tcW w:w="1205"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医保信息系统功能性</w:t>
            </w:r>
          </w:p>
        </w:tc>
        <w:tc>
          <w:tcPr>
            <w:tcW w:w="1307"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信息数据及时准确</w:t>
            </w:r>
          </w:p>
        </w:tc>
        <w:tc>
          <w:tcPr>
            <w:tcW w:w="1464"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信息数据及时准确</w:t>
            </w:r>
          </w:p>
        </w:tc>
        <w:tc>
          <w:tcPr>
            <w:tcW w:w="898"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信息数据及时准确</w:t>
            </w:r>
          </w:p>
        </w:tc>
        <w:tc>
          <w:tcPr>
            <w:tcW w:w="2767" w:type="dxa"/>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信息系统运转正常，信息数据及时准确</w:t>
            </w:r>
          </w:p>
        </w:tc>
        <w:tc>
          <w:tcPr>
            <w:tcW w:w="438"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6" w:hRule="atLeast"/>
        </w:trPr>
        <w:tc>
          <w:tcPr>
            <w:tcW w:w="592" w:type="dxa"/>
            <w:vMerge w:val="continue"/>
            <w:vAlign w:val="center"/>
          </w:tcPr>
          <w:p>
            <w:pPr>
              <w:pStyle w:val="17"/>
              <w:keepNext w:val="0"/>
              <w:keepLines w:val="0"/>
              <w:pageBreakBefore w:val="0"/>
              <w:wordWrap/>
              <w:overflowPunct/>
              <w:topLinePunct w:val="0"/>
              <w:bidi w:val="0"/>
              <w:spacing w:line="596" w:lineRule="exact"/>
              <w:jc w:val="center"/>
              <w:rPr>
                <w:rFonts w:asciiTheme="majorEastAsia" w:hAnsiTheme="majorEastAsia" w:eastAsiaTheme="majorEastAsia"/>
                <w:sz w:val="21"/>
                <w:szCs w:val="21"/>
                <w:highlight w:val="none"/>
              </w:rPr>
            </w:pPr>
          </w:p>
        </w:tc>
        <w:tc>
          <w:tcPr>
            <w:tcW w:w="585" w:type="dxa"/>
            <w:vMerge w:val="continue"/>
            <w:vAlign w:val="center"/>
          </w:tcPr>
          <w:p>
            <w:pPr>
              <w:pStyle w:val="17"/>
              <w:keepNext w:val="0"/>
              <w:keepLines w:val="0"/>
              <w:pageBreakBefore w:val="0"/>
              <w:wordWrap/>
              <w:overflowPunct/>
              <w:topLinePunct w:val="0"/>
              <w:bidi w:val="0"/>
              <w:spacing w:line="596" w:lineRule="exact"/>
              <w:jc w:val="center"/>
              <w:rPr>
                <w:rFonts w:asciiTheme="majorEastAsia" w:hAnsiTheme="majorEastAsia" w:eastAsiaTheme="majorEastAsia"/>
                <w:sz w:val="21"/>
                <w:szCs w:val="21"/>
                <w:highlight w:val="none"/>
              </w:rPr>
            </w:pPr>
          </w:p>
        </w:tc>
        <w:tc>
          <w:tcPr>
            <w:tcW w:w="1205"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医保统计、基金报表准确性、及时性、完整性</w:t>
            </w:r>
          </w:p>
        </w:tc>
        <w:tc>
          <w:tcPr>
            <w:tcW w:w="1307"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医保基金统计、基金报表上报准确完整、及时有效</w:t>
            </w:r>
          </w:p>
        </w:tc>
        <w:tc>
          <w:tcPr>
            <w:tcW w:w="1464"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医保基金统计、基金报表上报准确完整、及时有效</w:t>
            </w:r>
          </w:p>
        </w:tc>
        <w:tc>
          <w:tcPr>
            <w:tcW w:w="898"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医保基金统计、基金报表上报准确完整、及时有效</w:t>
            </w:r>
          </w:p>
        </w:tc>
        <w:tc>
          <w:tcPr>
            <w:tcW w:w="2767" w:type="dxa"/>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能够按时、完整上报医保基金统计、基金报表。上报报表不存在虚报、瞒报、误报等现象。对异常数据有说明解释</w:t>
            </w:r>
          </w:p>
        </w:tc>
        <w:tc>
          <w:tcPr>
            <w:tcW w:w="438"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2" w:hRule="atLeast"/>
        </w:trPr>
        <w:tc>
          <w:tcPr>
            <w:tcW w:w="592" w:type="dxa"/>
            <w:vMerge w:val="continue"/>
            <w:vAlign w:val="center"/>
          </w:tcPr>
          <w:p>
            <w:pPr>
              <w:pStyle w:val="17"/>
              <w:keepNext w:val="0"/>
              <w:keepLines w:val="0"/>
              <w:pageBreakBefore w:val="0"/>
              <w:wordWrap/>
              <w:overflowPunct/>
              <w:topLinePunct w:val="0"/>
              <w:bidi w:val="0"/>
              <w:spacing w:line="596" w:lineRule="exact"/>
              <w:jc w:val="center"/>
              <w:rPr>
                <w:rFonts w:asciiTheme="majorEastAsia" w:hAnsiTheme="majorEastAsia" w:eastAsiaTheme="majorEastAsia"/>
                <w:sz w:val="16"/>
                <w:szCs w:val="16"/>
                <w:highlight w:val="none"/>
              </w:rPr>
            </w:pPr>
          </w:p>
        </w:tc>
        <w:tc>
          <w:tcPr>
            <w:tcW w:w="585" w:type="dxa"/>
            <w:vMerge w:val="continue"/>
            <w:vAlign w:val="center"/>
          </w:tcPr>
          <w:p>
            <w:pPr>
              <w:pStyle w:val="17"/>
              <w:keepNext w:val="0"/>
              <w:keepLines w:val="0"/>
              <w:pageBreakBefore w:val="0"/>
              <w:wordWrap/>
              <w:overflowPunct/>
              <w:topLinePunct w:val="0"/>
              <w:bidi w:val="0"/>
              <w:spacing w:line="596" w:lineRule="exact"/>
              <w:jc w:val="center"/>
              <w:rPr>
                <w:rFonts w:asciiTheme="majorEastAsia" w:hAnsiTheme="majorEastAsia" w:eastAsiaTheme="majorEastAsia"/>
                <w:sz w:val="16"/>
                <w:szCs w:val="16"/>
                <w:highlight w:val="none"/>
              </w:rPr>
            </w:pPr>
          </w:p>
        </w:tc>
        <w:tc>
          <w:tcPr>
            <w:tcW w:w="1205" w:type="dxa"/>
            <w:vAlign w:val="center"/>
          </w:tcPr>
          <w:p>
            <w:pPr>
              <w:pStyle w:val="17"/>
              <w:jc w:val="left"/>
              <w:rPr>
                <w:rFonts w:hint="eastAsia" w:ascii="仿宋_GB2312" w:hAnsi="仿宋_GB2312" w:eastAsia="仿宋_GB2312" w:cs="仿宋_GB2312"/>
                <w:sz w:val="21"/>
                <w:szCs w:val="21"/>
                <w:highlight w:val="none"/>
                <w:lang w:val="en-US"/>
              </w:rPr>
            </w:pPr>
            <w:r>
              <w:rPr>
                <w:rFonts w:hint="eastAsia" w:ascii="仿宋_GB2312" w:hAnsi="仿宋_GB2312" w:eastAsia="仿宋_GB2312" w:cs="仿宋_GB2312"/>
                <w:sz w:val="21"/>
                <w:szCs w:val="21"/>
                <w:highlight w:val="none"/>
              </w:rPr>
              <w:t>绩效</w:t>
            </w:r>
            <w:r>
              <w:rPr>
                <w:rFonts w:hint="eastAsia" w:ascii="仿宋_GB2312" w:hAnsi="仿宋_GB2312" w:eastAsia="仿宋_GB2312" w:cs="仿宋_GB2312"/>
                <w:sz w:val="21"/>
                <w:szCs w:val="21"/>
                <w:highlight w:val="none"/>
                <w:lang w:val="en-US" w:eastAsia="zh-CN"/>
              </w:rPr>
              <w:t>评价</w:t>
            </w:r>
            <w:r>
              <w:rPr>
                <w:rFonts w:hint="eastAsia" w:ascii="仿宋_GB2312" w:hAnsi="仿宋_GB2312" w:eastAsia="仿宋_GB2312" w:cs="仿宋_GB2312"/>
                <w:sz w:val="21"/>
                <w:szCs w:val="21"/>
                <w:highlight w:val="none"/>
                <w:lang w:eastAsia="zh-CN"/>
              </w:rPr>
              <w:t>机制</w:t>
            </w:r>
            <w:r>
              <w:rPr>
                <w:rFonts w:hint="eastAsia" w:ascii="仿宋_GB2312" w:hAnsi="仿宋_GB2312" w:eastAsia="仿宋_GB2312" w:cs="仿宋_GB2312"/>
                <w:sz w:val="21"/>
                <w:szCs w:val="21"/>
                <w:highlight w:val="none"/>
                <w:lang w:val="en-US" w:eastAsia="zh-CN"/>
              </w:rPr>
              <w:t>健全性</w:t>
            </w:r>
          </w:p>
        </w:tc>
        <w:tc>
          <w:tcPr>
            <w:tcW w:w="1307" w:type="dxa"/>
            <w:vAlign w:val="center"/>
          </w:tcPr>
          <w:p>
            <w:pPr>
              <w:pStyle w:val="17"/>
              <w:jc w:val="left"/>
              <w:rPr>
                <w:rFonts w:hint="eastAsia" w:ascii="仿宋_GB2312" w:hAnsi="仿宋_GB2312" w:eastAsia="仿宋_GB2312" w:cs="仿宋_GB2312"/>
                <w:sz w:val="21"/>
                <w:szCs w:val="21"/>
                <w:highlight w:val="none"/>
                <w:lang w:val="en-US"/>
              </w:rPr>
            </w:pPr>
            <w:r>
              <w:rPr>
                <w:rFonts w:hint="eastAsia" w:ascii="仿宋_GB2312" w:hAnsi="仿宋_GB2312" w:eastAsia="仿宋_GB2312" w:cs="仿宋_GB2312"/>
                <w:sz w:val="21"/>
                <w:szCs w:val="21"/>
                <w:highlight w:val="none"/>
                <w:lang w:val="en-US" w:eastAsia="zh-CN"/>
              </w:rPr>
              <w:t>全面实现绩效管理</w:t>
            </w:r>
          </w:p>
        </w:tc>
        <w:tc>
          <w:tcPr>
            <w:tcW w:w="1464" w:type="dxa"/>
            <w:vAlign w:val="center"/>
          </w:tcPr>
          <w:p>
            <w:pPr>
              <w:pStyle w:val="17"/>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医保基金统计、基金报表上报准确完整、及时有效</w:t>
            </w:r>
          </w:p>
        </w:tc>
        <w:tc>
          <w:tcPr>
            <w:tcW w:w="898" w:type="dxa"/>
            <w:vAlign w:val="center"/>
          </w:tcPr>
          <w:p>
            <w:pPr>
              <w:pStyle w:val="17"/>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医保基金统计、基金报表上报准确完整、及时有效</w:t>
            </w:r>
          </w:p>
        </w:tc>
        <w:tc>
          <w:tcPr>
            <w:tcW w:w="2767" w:type="dxa"/>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①绩效运行监控有力(1分)</w:t>
            </w:r>
            <w:r>
              <w:rPr>
                <w:rFonts w:hint="eastAsia" w:ascii="仿宋_GB2312" w:hAnsi="仿宋_GB2312" w:eastAsia="仿宋_GB2312" w:cs="仿宋_GB2312"/>
                <w:kern w:val="2"/>
                <w:sz w:val="21"/>
                <w:szCs w:val="21"/>
                <w:highlight w:val="none"/>
                <w:lang w:val="en-US" w:eastAsia="zh-CN" w:bidi="ar-SA"/>
              </w:rPr>
              <w:br w:type="textWrapping"/>
            </w:r>
            <w:r>
              <w:rPr>
                <w:rFonts w:hint="eastAsia" w:ascii="仿宋_GB2312" w:hAnsi="仿宋_GB2312" w:eastAsia="仿宋_GB2312" w:cs="仿宋_GB2312"/>
                <w:kern w:val="2"/>
                <w:sz w:val="21"/>
                <w:szCs w:val="21"/>
                <w:highlight w:val="none"/>
                <w:lang w:val="en-US" w:eastAsia="zh-CN" w:bidi="ar-SA"/>
              </w:rPr>
              <w:t>②评价报告规范完整(1分)</w:t>
            </w:r>
            <w:r>
              <w:rPr>
                <w:rFonts w:hint="eastAsia" w:ascii="仿宋_GB2312" w:hAnsi="仿宋_GB2312" w:eastAsia="仿宋_GB2312" w:cs="仿宋_GB2312"/>
                <w:kern w:val="2"/>
                <w:sz w:val="21"/>
                <w:szCs w:val="21"/>
                <w:highlight w:val="none"/>
                <w:lang w:val="en-US" w:eastAsia="zh-CN" w:bidi="ar-SA"/>
              </w:rPr>
              <w:br w:type="textWrapping"/>
            </w:r>
            <w:r>
              <w:rPr>
                <w:rFonts w:hint="eastAsia" w:ascii="仿宋_GB2312" w:hAnsi="仿宋_GB2312" w:eastAsia="仿宋_GB2312" w:cs="仿宋_GB2312"/>
                <w:kern w:val="2"/>
                <w:sz w:val="21"/>
                <w:szCs w:val="21"/>
                <w:highlight w:val="none"/>
                <w:lang w:val="en-US" w:eastAsia="zh-CN" w:bidi="ar-SA"/>
              </w:rPr>
              <w:t>③评价报告上报及时(2分)</w:t>
            </w:r>
          </w:p>
        </w:tc>
        <w:tc>
          <w:tcPr>
            <w:tcW w:w="438" w:type="dxa"/>
            <w:vAlign w:val="center"/>
          </w:tcPr>
          <w:p>
            <w:pPr>
              <w:pStyle w:val="17"/>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4</w:t>
            </w:r>
          </w:p>
        </w:tc>
      </w:tr>
    </w:tbl>
    <w:p>
      <w:pPr>
        <w:spacing w:line="600" w:lineRule="exact"/>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（1）得分原因：</w:t>
      </w:r>
    </w:p>
    <w:p>
      <w:pPr>
        <w:spacing w:line="600" w:lineRule="exact"/>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①</w:t>
      </w:r>
      <w:r>
        <w:rPr>
          <w:rFonts w:hint="eastAsia" w:ascii="方正仿宋_GB2312" w:hAnsi="方正仿宋_GB2312" w:eastAsia="方正仿宋_GB2312" w:cs="方正仿宋_GB2312"/>
          <w:sz w:val="32"/>
          <w:szCs w:val="32"/>
          <w:highlight w:val="none"/>
          <w:lang w:val="en-US" w:eastAsia="zh-CN"/>
        </w:rPr>
        <w:t>资金使用合理、监管有力</w:t>
      </w:r>
      <w:r>
        <w:rPr>
          <w:rFonts w:hint="eastAsia" w:ascii="方正仿宋_GB2312" w:hAnsi="方正仿宋_GB2312" w:eastAsia="方正仿宋_GB2312" w:cs="方正仿宋_GB2312"/>
          <w:sz w:val="32"/>
          <w:szCs w:val="32"/>
          <w:highlight w:val="none"/>
        </w:rPr>
        <w:t>；②</w:t>
      </w:r>
      <w:r>
        <w:rPr>
          <w:rFonts w:hint="eastAsia" w:ascii="方正仿宋_GB2312" w:hAnsi="方正仿宋_GB2312" w:eastAsia="方正仿宋_GB2312" w:cs="方正仿宋_GB2312"/>
          <w:sz w:val="32"/>
          <w:szCs w:val="32"/>
          <w:highlight w:val="none"/>
          <w:lang w:val="en-US" w:eastAsia="zh-CN"/>
        </w:rPr>
        <w:t>组织管理健全有效</w:t>
      </w:r>
      <w:r>
        <w:rPr>
          <w:rFonts w:hint="eastAsia" w:ascii="方正仿宋_GB2312" w:hAnsi="方正仿宋_GB2312" w:eastAsia="方正仿宋_GB2312" w:cs="方正仿宋_GB2312"/>
          <w:sz w:val="32"/>
          <w:szCs w:val="32"/>
          <w:highlight w:val="none"/>
        </w:rPr>
        <w:t>；③</w:t>
      </w:r>
      <w:r>
        <w:rPr>
          <w:rFonts w:hint="eastAsia" w:ascii="方正仿宋_GB2312" w:hAnsi="方正仿宋_GB2312" w:eastAsia="方正仿宋_GB2312" w:cs="方正仿宋_GB2312"/>
          <w:sz w:val="32"/>
          <w:szCs w:val="32"/>
          <w:highlight w:val="none"/>
          <w:lang w:val="en-US" w:eastAsia="zh-CN"/>
        </w:rPr>
        <w:t>绩效评价机构健全</w:t>
      </w:r>
      <w:r>
        <w:rPr>
          <w:rFonts w:hint="eastAsia" w:ascii="方正仿宋_GB2312" w:hAnsi="方正仿宋_GB2312" w:eastAsia="方正仿宋_GB2312" w:cs="方正仿宋_GB2312"/>
          <w:sz w:val="32"/>
          <w:szCs w:val="32"/>
          <w:highlight w:val="none"/>
        </w:rPr>
        <w:t>。</w:t>
      </w:r>
    </w:p>
    <w:p>
      <w:pPr>
        <w:spacing w:line="600" w:lineRule="exact"/>
        <w:ind w:firstLine="640" w:firstLineChars="2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（2）失分原因：</w:t>
      </w:r>
    </w:p>
    <w:p>
      <w:pPr>
        <w:pStyle w:val="4"/>
        <w:spacing w:line="600" w:lineRule="exact"/>
        <w:ind w:firstLine="600"/>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无。</w:t>
      </w:r>
    </w:p>
    <w:p>
      <w:pPr>
        <w:pStyle w:val="29"/>
        <w:spacing w:after="0" w:line="600" w:lineRule="exact"/>
        <w:ind w:firstLine="640" w:firstLineChars="200"/>
        <w:rPr>
          <w:rFonts w:hint="eastAsia" w:ascii="方正仿宋_GB2312" w:hAnsi="方正仿宋_GB2312" w:eastAsia="方正仿宋_GB2312" w:cs="方正仿宋_GB2312"/>
          <w:kern w:val="2"/>
          <w:sz w:val="32"/>
          <w:szCs w:val="32"/>
          <w:highlight w:val="none"/>
          <w:lang w:val="en-US" w:eastAsia="zh-CN" w:bidi="ar-SA"/>
        </w:rPr>
      </w:pPr>
      <w:r>
        <w:rPr>
          <w:rFonts w:hint="eastAsia" w:ascii="方正仿宋_GB2312" w:hAnsi="方正仿宋_GB2312" w:eastAsia="方正仿宋_GB2312" w:cs="方正仿宋_GB2312"/>
          <w:kern w:val="2"/>
          <w:sz w:val="32"/>
          <w:szCs w:val="32"/>
          <w:highlight w:val="none"/>
          <w:lang w:val="en-US" w:eastAsia="zh-CN" w:bidi="ar-SA"/>
        </w:rPr>
        <w:t>3.产出指标指标分值47分，实际得分40.99分、失分6.01分，得分率87.21%。产出指标指标得分情况如下表所示：</w:t>
      </w:r>
    </w:p>
    <w:tbl>
      <w:tblPr>
        <w:tblStyle w:val="1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1"/>
        <w:gridCol w:w="426"/>
        <w:gridCol w:w="1141"/>
        <w:gridCol w:w="1438"/>
        <w:gridCol w:w="951"/>
        <w:gridCol w:w="951"/>
        <w:gridCol w:w="2443"/>
        <w:gridCol w:w="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319" w:type="pct"/>
            <w:vMerge w:val="restart"/>
            <w:vAlign w:val="center"/>
          </w:tcPr>
          <w:p>
            <w:pPr>
              <w:bidi w:val="0"/>
              <w:jc w:val="center"/>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rPr>
              <w:t>产出</w:t>
            </w:r>
            <w:r>
              <w:rPr>
                <w:rFonts w:hint="eastAsia" w:ascii="仿宋_GB2312" w:hAnsi="仿宋_GB2312" w:eastAsia="仿宋_GB2312" w:cs="仿宋_GB2312"/>
                <w:sz w:val="21"/>
                <w:szCs w:val="21"/>
                <w:highlight w:val="none"/>
                <w:lang w:val="en-US" w:eastAsia="zh-CN"/>
              </w:rPr>
              <w:t>指标</w:t>
            </w:r>
          </w:p>
          <w:p>
            <w:pPr>
              <w:bidi w:val="0"/>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w:t>
            </w:r>
            <w:r>
              <w:rPr>
                <w:rFonts w:hint="eastAsia" w:ascii="仿宋_GB2312" w:hAnsi="仿宋_GB2312" w:eastAsia="仿宋_GB2312" w:cs="仿宋_GB2312"/>
                <w:sz w:val="21"/>
                <w:szCs w:val="21"/>
                <w:highlight w:val="none"/>
                <w:lang w:val="en-US" w:eastAsia="zh-CN"/>
              </w:rPr>
              <w:t>47</w:t>
            </w:r>
            <w:r>
              <w:rPr>
                <w:rFonts w:hint="eastAsia" w:ascii="仿宋_GB2312" w:hAnsi="仿宋_GB2312" w:eastAsia="仿宋_GB2312" w:cs="仿宋_GB2312"/>
                <w:sz w:val="21"/>
                <w:szCs w:val="21"/>
                <w:highlight w:val="none"/>
              </w:rPr>
              <w:t>分)</w:t>
            </w:r>
          </w:p>
        </w:tc>
        <w:tc>
          <w:tcPr>
            <w:tcW w:w="315" w:type="pct"/>
            <w:vMerge w:val="restart"/>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数量指标</w:t>
            </w:r>
          </w:p>
        </w:tc>
        <w:tc>
          <w:tcPr>
            <w:tcW w:w="785"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rPr>
              <w:t>参保人数(人)</w:t>
            </w:r>
          </w:p>
        </w:tc>
        <w:tc>
          <w:tcPr>
            <w:tcW w:w="906"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rPr>
              <w:t>≥</w:t>
            </w:r>
            <w:r>
              <w:rPr>
                <w:rFonts w:hint="eastAsia" w:ascii="仿宋_GB2312" w:hAnsi="仿宋_GB2312" w:eastAsia="仿宋_GB2312" w:cs="仿宋_GB2312"/>
                <w:sz w:val="21"/>
                <w:szCs w:val="21"/>
                <w:highlight w:val="none"/>
                <w:lang w:val="en-US" w:eastAsia="zh-CN"/>
              </w:rPr>
              <w:t>1560万</w:t>
            </w:r>
            <w:r>
              <w:rPr>
                <w:rFonts w:hint="eastAsia" w:ascii="仿宋_GB2312" w:hAnsi="仿宋_GB2312" w:eastAsia="仿宋_GB2312" w:cs="仿宋_GB2312"/>
                <w:sz w:val="21"/>
                <w:szCs w:val="21"/>
                <w:highlight w:val="none"/>
              </w:rPr>
              <w:t>人</w:t>
            </w:r>
          </w:p>
        </w:tc>
        <w:tc>
          <w:tcPr>
            <w:tcW w:w="454"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1558.16万人</w:t>
            </w:r>
          </w:p>
        </w:tc>
        <w:tc>
          <w:tcPr>
            <w:tcW w:w="484"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1556.41万人</w:t>
            </w:r>
          </w:p>
        </w:tc>
        <w:tc>
          <w:tcPr>
            <w:tcW w:w="1495" w:type="pct"/>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满分:达到标准值</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零分:（实际值/标准值）≤50%</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其他:（实际值/标准值）*5</w:t>
            </w:r>
          </w:p>
        </w:tc>
        <w:tc>
          <w:tcPr>
            <w:tcW w:w="236"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lang w:val="en-US" w:eastAsia="zh-CN"/>
              </w:rPr>
              <w:t>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319" w:type="pct"/>
            <w:vMerge w:val="continue"/>
            <w:vAlign w:val="center"/>
          </w:tcPr>
          <w:p>
            <w:pPr>
              <w:bidi w:val="0"/>
              <w:jc w:val="center"/>
              <w:rPr>
                <w:rFonts w:hint="eastAsia" w:ascii="仿宋_GB2312" w:hAnsi="仿宋_GB2312" w:eastAsia="仿宋_GB2312" w:cs="仿宋_GB2312"/>
                <w:sz w:val="21"/>
                <w:szCs w:val="21"/>
                <w:highlight w:val="none"/>
              </w:rPr>
            </w:pPr>
          </w:p>
        </w:tc>
        <w:tc>
          <w:tcPr>
            <w:tcW w:w="315" w:type="pct"/>
            <w:vMerge w:val="continue"/>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1"/>
                <w:szCs w:val="21"/>
                <w:highlight w:val="none"/>
              </w:rPr>
            </w:pPr>
          </w:p>
        </w:tc>
        <w:tc>
          <w:tcPr>
            <w:tcW w:w="785"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各级财政补助标准(元)</w:t>
            </w:r>
          </w:p>
        </w:tc>
        <w:tc>
          <w:tcPr>
            <w:tcW w:w="906"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≥610元</w:t>
            </w:r>
          </w:p>
        </w:tc>
        <w:tc>
          <w:tcPr>
            <w:tcW w:w="454"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rPr>
              <w:t>≥</w:t>
            </w:r>
            <w:r>
              <w:rPr>
                <w:rFonts w:hint="eastAsia" w:ascii="仿宋_GB2312" w:hAnsi="仿宋_GB2312" w:eastAsia="仿宋_GB2312" w:cs="仿宋_GB2312"/>
                <w:sz w:val="21"/>
                <w:szCs w:val="21"/>
                <w:highlight w:val="none"/>
                <w:lang w:val="en-US" w:eastAsia="zh-CN"/>
              </w:rPr>
              <w:t>580</w:t>
            </w:r>
            <w:r>
              <w:rPr>
                <w:rFonts w:hint="eastAsia" w:ascii="仿宋_GB2312" w:hAnsi="仿宋_GB2312" w:eastAsia="仿宋_GB2312" w:cs="仿宋_GB2312"/>
                <w:sz w:val="21"/>
                <w:szCs w:val="21"/>
                <w:highlight w:val="none"/>
              </w:rPr>
              <w:t>元</w:t>
            </w:r>
          </w:p>
        </w:tc>
        <w:tc>
          <w:tcPr>
            <w:tcW w:w="484"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≥610元</w:t>
            </w:r>
          </w:p>
        </w:tc>
        <w:tc>
          <w:tcPr>
            <w:tcW w:w="1495" w:type="pct"/>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满分:达到标准值</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零分:低于标准值</w:t>
            </w:r>
          </w:p>
        </w:tc>
        <w:tc>
          <w:tcPr>
            <w:tcW w:w="236"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trPr>
        <w:tc>
          <w:tcPr>
            <w:tcW w:w="319" w:type="pct"/>
            <w:vMerge w:val="continue"/>
            <w:vAlign w:val="center"/>
          </w:tcPr>
          <w:p>
            <w:pPr>
              <w:pStyle w:val="17"/>
              <w:keepNext w:val="0"/>
              <w:keepLines w:val="0"/>
              <w:pageBreakBefore w:val="0"/>
              <w:wordWrap/>
              <w:overflowPunct/>
              <w:topLinePunct w:val="0"/>
              <w:bidi w:val="0"/>
              <w:spacing w:line="596" w:lineRule="exact"/>
              <w:jc w:val="center"/>
              <w:rPr>
                <w:rFonts w:hint="eastAsia" w:ascii="仿宋_GB2312" w:hAnsi="仿宋_GB2312" w:eastAsia="仿宋_GB2312" w:cs="仿宋_GB2312"/>
                <w:sz w:val="21"/>
                <w:szCs w:val="21"/>
                <w:highlight w:val="none"/>
              </w:rPr>
            </w:pPr>
          </w:p>
        </w:tc>
        <w:tc>
          <w:tcPr>
            <w:tcW w:w="315" w:type="pct"/>
            <w:vMerge w:val="restart"/>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质量指标</w:t>
            </w:r>
          </w:p>
        </w:tc>
        <w:tc>
          <w:tcPr>
            <w:tcW w:w="785"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rPr>
              <w:t>以户籍人口为基</w:t>
            </w:r>
            <w:r>
              <w:rPr>
                <w:rFonts w:hint="eastAsia" w:ascii="仿宋_GB2312" w:hAnsi="仿宋_GB2312" w:eastAsia="仿宋_GB2312" w:cs="仿宋_GB2312"/>
                <w:sz w:val="21"/>
                <w:szCs w:val="21"/>
                <w:highlight w:val="none"/>
                <w:lang w:val="en-US" w:eastAsia="zh-CN"/>
              </w:rPr>
              <w:t>数</w:t>
            </w:r>
            <w:r>
              <w:rPr>
                <w:rFonts w:hint="eastAsia" w:ascii="仿宋_GB2312" w:hAnsi="仿宋_GB2312" w:eastAsia="仿宋_GB2312" w:cs="仿宋_GB2312"/>
                <w:sz w:val="21"/>
                <w:szCs w:val="21"/>
                <w:highlight w:val="none"/>
              </w:rPr>
              <w:t>计算的基本医保综合参保率(%)</w:t>
            </w:r>
          </w:p>
        </w:tc>
        <w:tc>
          <w:tcPr>
            <w:tcW w:w="906"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rPr>
              <w:t>≥</w:t>
            </w:r>
            <w:r>
              <w:rPr>
                <w:rFonts w:hint="eastAsia" w:ascii="仿宋_GB2312" w:hAnsi="仿宋_GB2312" w:eastAsia="仿宋_GB2312" w:cs="仿宋_GB2312"/>
                <w:sz w:val="21"/>
                <w:szCs w:val="21"/>
                <w:highlight w:val="none"/>
                <w:lang w:val="en-US" w:eastAsia="zh-CN"/>
              </w:rPr>
              <w:t>95</w:t>
            </w:r>
            <w:r>
              <w:rPr>
                <w:rFonts w:hint="eastAsia" w:ascii="仿宋_GB2312" w:hAnsi="仿宋_GB2312" w:eastAsia="仿宋_GB2312" w:cs="仿宋_GB2312"/>
                <w:sz w:val="21"/>
                <w:szCs w:val="21"/>
                <w:highlight w:val="none"/>
              </w:rPr>
              <w:t>%</w:t>
            </w:r>
          </w:p>
        </w:tc>
        <w:tc>
          <w:tcPr>
            <w:tcW w:w="454"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97%</w:t>
            </w:r>
          </w:p>
        </w:tc>
        <w:tc>
          <w:tcPr>
            <w:tcW w:w="484"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99.51%</w:t>
            </w:r>
          </w:p>
        </w:tc>
        <w:tc>
          <w:tcPr>
            <w:tcW w:w="1495" w:type="pct"/>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满分:达到标准值</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零分:低于标准值</w:t>
            </w:r>
          </w:p>
        </w:tc>
        <w:tc>
          <w:tcPr>
            <w:tcW w:w="236"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trPr>
        <w:tc>
          <w:tcPr>
            <w:tcW w:w="319" w:type="pct"/>
            <w:vMerge w:val="continue"/>
            <w:vAlign w:val="center"/>
          </w:tcPr>
          <w:p>
            <w:pPr>
              <w:pStyle w:val="17"/>
              <w:keepNext w:val="0"/>
              <w:keepLines w:val="0"/>
              <w:pageBreakBefore w:val="0"/>
              <w:wordWrap/>
              <w:overflowPunct/>
              <w:topLinePunct w:val="0"/>
              <w:bidi w:val="0"/>
              <w:spacing w:line="596" w:lineRule="exact"/>
              <w:jc w:val="center"/>
              <w:rPr>
                <w:rFonts w:hint="eastAsia" w:ascii="仿宋_GB2312" w:hAnsi="仿宋_GB2312" w:eastAsia="仿宋_GB2312" w:cs="仿宋_GB2312"/>
                <w:sz w:val="21"/>
                <w:szCs w:val="21"/>
                <w:highlight w:val="none"/>
              </w:rPr>
            </w:pPr>
          </w:p>
        </w:tc>
        <w:tc>
          <w:tcPr>
            <w:tcW w:w="315" w:type="pct"/>
            <w:vMerge w:val="continue"/>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1"/>
                <w:szCs w:val="21"/>
                <w:highlight w:val="none"/>
              </w:rPr>
            </w:pPr>
          </w:p>
        </w:tc>
        <w:tc>
          <w:tcPr>
            <w:tcW w:w="785"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以常住人口为基数计算的基本医保综合参保率(%)</w:t>
            </w:r>
          </w:p>
        </w:tc>
        <w:tc>
          <w:tcPr>
            <w:tcW w:w="906"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≥95%</w:t>
            </w:r>
          </w:p>
        </w:tc>
        <w:tc>
          <w:tcPr>
            <w:tcW w:w="454"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90%</w:t>
            </w:r>
          </w:p>
        </w:tc>
        <w:tc>
          <w:tcPr>
            <w:tcW w:w="484"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91.62%</w:t>
            </w:r>
          </w:p>
        </w:tc>
        <w:tc>
          <w:tcPr>
            <w:tcW w:w="1495" w:type="pct"/>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满分:达到标准值</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零分:低于标准值</w:t>
            </w:r>
          </w:p>
        </w:tc>
        <w:tc>
          <w:tcPr>
            <w:tcW w:w="236"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z w:val="21"/>
                <w:szCs w:val="21"/>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319" w:type="pct"/>
            <w:vMerge w:val="continue"/>
            <w:vAlign w:val="center"/>
          </w:tcPr>
          <w:p>
            <w:pPr>
              <w:pStyle w:val="17"/>
              <w:keepNext w:val="0"/>
              <w:keepLines w:val="0"/>
              <w:pageBreakBefore w:val="0"/>
              <w:wordWrap/>
              <w:overflowPunct/>
              <w:topLinePunct w:val="0"/>
              <w:bidi w:val="0"/>
              <w:spacing w:line="596" w:lineRule="exact"/>
              <w:jc w:val="center"/>
              <w:rPr>
                <w:rFonts w:asciiTheme="majorEastAsia" w:hAnsiTheme="majorEastAsia" w:eastAsiaTheme="majorEastAsia"/>
                <w:sz w:val="16"/>
                <w:szCs w:val="16"/>
                <w:highlight w:val="none"/>
              </w:rPr>
            </w:pPr>
          </w:p>
        </w:tc>
        <w:tc>
          <w:tcPr>
            <w:tcW w:w="315" w:type="pct"/>
            <w:vMerge w:val="continue"/>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heme="majorEastAsia" w:hAnsiTheme="majorEastAsia" w:eastAsiaTheme="majorEastAsia"/>
                <w:sz w:val="21"/>
                <w:szCs w:val="21"/>
                <w:highlight w:val="none"/>
              </w:rPr>
            </w:pPr>
          </w:p>
        </w:tc>
        <w:tc>
          <w:tcPr>
            <w:tcW w:w="785"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重复参保人数(人)</w:t>
            </w:r>
          </w:p>
        </w:tc>
        <w:tc>
          <w:tcPr>
            <w:tcW w:w="906"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0</w:t>
            </w:r>
          </w:p>
        </w:tc>
        <w:tc>
          <w:tcPr>
            <w:tcW w:w="454"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634</w:t>
            </w:r>
          </w:p>
        </w:tc>
        <w:tc>
          <w:tcPr>
            <w:tcW w:w="484"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default"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10970</w:t>
            </w:r>
          </w:p>
        </w:tc>
        <w:tc>
          <w:tcPr>
            <w:tcW w:w="1495" w:type="pct"/>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满分:达到标准值</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kern w:val="2"/>
                <w:sz w:val="21"/>
                <w:szCs w:val="21"/>
                <w:highlight w:val="none"/>
                <w:lang w:val="en-US" w:eastAsia="zh-CN" w:bidi="ar-SA"/>
              </w:rPr>
              <w:t>零分:有重复参保人数</w:t>
            </w:r>
          </w:p>
        </w:tc>
        <w:tc>
          <w:tcPr>
            <w:tcW w:w="236"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3" w:hRule="atLeast"/>
        </w:trPr>
        <w:tc>
          <w:tcPr>
            <w:tcW w:w="319" w:type="pct"/>
            <w:vMerge w:val="continue"/>
            <w:vAlign w:val="center"/>
          </w:tcPr>
          <w:p>
            <w:pPr>
              <w:pStyle w:val="17"/>
              <w:keepNext w:val="0"/>
              <w:keepLines w:val="0"/>
              <w:pageBreakBefore w:val="0"/>
              <w:wordWrap/>
              <w:overflowPunct/>
              <w:topLinePunct w:val="0"/>
              <w:bidi w:val="0"/>
              <w:spacing w:line="596" w:lineRule="exact"/>
              <w:jc w:val="center"/>
              <w:rPr>
                <w:rFonts w:asciiTheme="majorEastAsia" w:hAnsiTheme="majorEastAsia" w:eastAsiaTheme="majorEastAsia"/>
                <w:sz w:val="16"/>
                <w:szCs w:val="16"/>
                <w:highlight w:val="none"/>
              </w:rPr>
            </w:pPr>
          </w:p>
        </w:tc>
        <w:tc>
          <w:tcPr>
            <w:tcW w:w="315" w:type="pct"/>
            <w:vMerge w:val="continue"/>
            <w:vAlign w:val="center"/>
          </w:tcPr>
          <w:p>
            <w:pPr>
              <w:pStyle w:val="17"/>
              <w:keepNext w:val="0"/>
              <w:keepLines w:val="0"/>
              <w:pageBreakBefore w:val="0"/>
              <w:wordWrap/>
              <w:overflowPunct/>
              <w:topLinePunct w:val="0"/>
              <w:bidi w:val="0"/>
              <w:spacing w:line="596" w:lineRule="exact"/>
              <w:jc w:val="center"/>
              <w:rPr>
                <w:rFonts w:asciiTheme="majorEastAsia" w:hAnsiTheme="majorEastAsia" w:eastAsiaTheme="majorEastAsia"/>
                <w:sz w:val="21"/>
                <w:szCs w:val="21"/>
                <w:highlight w:val="none"/>
              </w:rPr>
            </w:pPr>
          </w:p>
        </w:tc>
        <w:tc>
          <w:tcPr>
            <w:tcW w:w="785"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虚报参保人数(人)</w:t>
            </w:r>
          </w:p>
        </w:tc>
        <w:tc>
          <w:tcPr>
            <w:tcW w:w="906"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0</w:t>
            </w:r>
          </w:p>
        </w:tc>
        <w:tc>
          <w:tcPr>
            <w:tcW w:w="454"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0</w:t>
            </w:r>
          </w:p>
        </w:tc>
        <w:tc>
          <w:tcPr>
            <w:tcW w:w="484"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0</w:t>
            </w:r>
          </w:p>
        </w:tc>
        <w:tc>
          <w:tcPr>
            <w:tcW w:w="1495"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满分:达到标准值</w:t>
            </w:r>
          </w:p>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lang w:val="en-US"/>
              </w:rPr>
            </w:pPr>
            <w:r>
              <w:rPr>
                <w:rFonts w:hint="eastAsia" w:ascii="仿宋_GB2312" w:hAnsi="仿宋_GB2312" w:eastAsia="仿宋_GB2312" w:cs="仿宋_GB2312"/>
                <w:sz w:val="21"/>
                <w:szCs w:val="21"/>
                <w:highlight w:val="none"/>
                <w:lang w:val="en-US" w:eastAsia="zh-CN"/>
              </w:rPr>
              <w:t>零分:有虚报参保人数记零分</w:t>
            </w:r>
          </w:p>
        </w:tc>
        <w:tc>
          <w:tcPr>
            <w:tcW w:w="236"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 w:hRule="atLeast"/>
        </w:trPr>
        <w:tc>
          <w:tcPr>
            <w:tcW w:w="319" w:type="pct"/>
            <w:vMerge w:val="continue"/>
            <w:vAlign w:val="center"/>
          </w:tcPr>
          <w:p>
            <w:pPr>
              <w:pStyle w:val="17"/>
              <w:keepNext w:val="0"/>
              <w:keepLines w:val="0"/>
              <w:pageBreakBefore w:val="0"/>
              <w:wordWrap/>
              <w:overflowPunct/>
              <w:topLinePunct w:val="0"/>
              <w:bidi w:val="0"/>
              <w:spacing w:line="596" w:lineRule="exact"/>
              <w:jc w:val="center"/>
              <w:rPr>
                <w:rFonts w:asciiTheme="majorEastAsia" w:hAnsiTheme="majorEastAsia" w:eastAsiaTheme="majorEastAsia"/>
                <w:sz w:val="16"/>
                <w:szCs w:val="16"/>
                <w:highlight w:val="none"/>
              </w:rPr>
            </w:pPr>
          </w:p>
        </w:tc>
        <w:tc>
          <w:tcPr>
            <w:tcW w:w="315" w:type="pct"/>
            <w:vMerge w:val="continue"/>
            <w:vAlign w:val="center"/>
          </w:tcPr>
          <w:p>
            <w:pPr>
              <w:pStyle w:val="17"/>
              <w:keepNext w:val="0"/>
              <w:keepLines w:val="0"/>
              <w:pageBreakBefore w:val="0"/>
              <w:wordWrap/>
              <w:overflowPunct/>
              <w:topLinePunct w:val="0"/>
              <w:bidi w:val="0"/>
              <w:spacing w:line="596" w:lineRule="exact"/>
              <w:jc w:val="center"/>
              <w:rPr>
                <w:rFonts w:asciiTheme="majorEastAsia" w:hAnsiTheme="majorEastAsia" w:eastAsiaTheme="majorEastAsia"/>
                <w:sz w:val="21"/>
                <w:szCs w:val="21"/>
                <w:highlight w:val="none"/>
              </w:rPr>
            </w:pPr>
          </w:p>
        </w:tc>
        <w:tc>
          <w:tcPr>
            <w:tcW w:w="785"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参保人政策范围内住院费用报销</w:t>
            </w:r>
            <w:r>
              <w:rPr>
                <w:rFonts w:hint="eastAsia" w:ascii="仿宋_GB2312" w:hAnsi="仿宋_GB2312" w:eastAsia="仿宋_GB2312" w:cs="仿宋_GB2312"/>
                <w:sz w:val="21"/>
                <w:szCs w:val="21"/>
                <w:highlight w:val="none"/>
                <w:lang w:val="en-US" w:eastAsia="zh-CN"/>
              </w:rPr>
              <w:t>比例</w:t>
            </w:r>
            <w:r>
              <w:rPr>
                <w:rFonts w:hint="eastAsia" w:ascii="仿宋_GB2312" w:hAnsi="仿宋_GB2312" w:eastAsia="仿宋_GB2312" w:cs="仿宋_GB2312"/>
                <w:sz w:val="21"/>
                <w:szCs w:val="21"/>
                <w:highlight w:val="none"/>
              </w:rPr>
              <w:t>(%)</w:t>
            </w:r>
          </w:p>
        </w:tc>
        <w:tc>
          <w:tcPr>
            <w:tcW w:w="906"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w:t>
            </w:r>
            <w:r>
              <w:rPr>
                <w:rFonts w:hint="eastAsia" w:ascii="仿宋_GB2312" w:hAnsi="仿宋_GB2312" w:eastAsia="仿宋_GB2312" w:cs="仿宋_GB2312"/>
                <w:sz w:val="21"/>
                <w:szCs w:val="21"/>
                <w:highlight w:val="none"/>
                <w:lang w:val="en-US" w:eastAsia="zh-CN"/>
              </w:rPr>
              <w:t>68</w:t>
            </w:r>
            <w:r>
              <w:rPr>
                <w:rFonts w:hint="eastAsia" w:ascii="仿宋_GB2312" w:hAnsi="仿宋_GB2312" w:eastAsia="仿宋_GB2312" w:cs="仿宋_GB2312"/>
                <w:sz w:val="21"/>
                <w:szCs w:val="21"/>
                <w:highlight w:val="none"/>
              </w:rPr>
              <w:t>%</w:t>
            </w:r>
          </w:p>
        </w:tc>
        <w:tc>
          <w:tcPr>
            <w:tcW w:w="454"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default"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76.24%</w:t>
            </w:r>
          </w:p>
        </w:tc>
        <w:tc>
          <w:tcPr>
            <w:tcW w:w="484"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default"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76.77</w:t>
            </w:r>
            <w:r>
              <w:rPr>
                <w:rFonts w:hint="eastAsia" w:ascii="仿宋_GB2312" w:hAnsi="仿宋_GB2312" w:eastAsia="仿宋_GB2312" w:cs="仿宋_GB2312"/>
                <w:sz w:val="21"/>
                <w:szCs w:val="21"/>
                <w:highlight w:val="none"/>
              </w:rPr>
              <w:t>%</w:t>
            </w:r>
          </w:p>
        </w:tc>
        <w:tc>
          <w:tcPr>
            <w:tcW w:w="1495"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满分:达到标准值</w:t>
            </w:r>
          </w:p>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val="en-US" w:eastAsia="zh-CN"/>
              </w:rPr>
              <w:t>零分:低于标准值</w:t>
            </w:r>
          </w:p>
        </w:tc>
        <w:tc>
          <w:tcPr>
            <w:tcW w:w="236"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319" w:type="pct"/>
            <w:vMerge w:val="continue"/>
            <w:vAlign w:val="center"/>
          </w:tcPr>
          <w:p>
            <w:pPr>
              <w:pStyle w:val="17"/>
              <w:keepNext w:val="0"/>
              <w:keepLines w:val="0"/>
              <w:pageBreakBefore w:val="0"/>
              <w:wordWrap/>
              <w:overflowPunct/>
              <w:topLinePunct w:val="0"/>
              <w:bidi w:val="0"/>
              <w:spacing w:line="596" w:lineRule="exact"/>
              <w:jc w:val="center"/>
              <w:rPr>
                <w:rFonts w:asciiTheme="majorEastAsia" w:hAnsiTheme="majorEastAsia" w:eastAsiaTheme="majorEastAsia"/>
                <w:sz w:val="16"/>
                <w:szCs w:val="16"/>
                <w:highlight w:val="none"/>
              </w:rPr>
            </w:pPr>
          </w:p>
        </w:tc>
        <w:tc>
          <w:tcPr>
            <w:tcW w:w="315" w:type="pct"/>
            <w:vMerge w:val="continue"/>
            <w:vAlign w:val="center"/>
          </w:tcPr>
          <w:p>
            <w:pPr>
              <w:pStyle w:val="17"/>
              <w:keepNext w:val="0"/>
              <w:keepLines w:val="0"/>
              <w:pageBreakBefore w:val="0"/>
              <w:wordWrap/>
              <w:overflowPunct/>
              <w:topLinePunct w:val="0"/>
              <w:bidi w:val="0"/>
              <w:spacing w:line="596" w:lineRule="exact"/>
              <w:jc w:val="center"/>
              <w:rPr>
                <w:rFonts w:asciiTheme="majorEastAsia" w:hAnsiTheme="majorEastAsia" w:eastAsiaTheme="majorEastAsia"/>
                <w:sz w:val="21"/>
                <w:szCs w:val="21"/>
                <w:highlight w:val="none"/>
              </w:rPr>
            </w:pPr>
          </w:p>
        </w:tc>
        <w:tc>
          <w:tcPr>
            <w:tcW w:w="785"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参保人住院费用实际报销</w:t>
            </w:r>
            <w:r>
              <w:rPr>
                <w:rFonts w:hint="eastAsia" w:ascii="仿宋_GB2312" w:hAnsi="仿宋_GB2312" w:eastAsia="仿宋_GB2312" w:cs="仿宋_GB2312"/>
                <w:sz w:val="21"/>
                <w:szCs w:val="21"/>
                <w:highlight w:val="none"/>
                <w:lang w:val="en-US" w:eastAsia="zh-CN"/>
              </w:rPr>
              <w:t>比例</w:t>
            </w:r>
            <w:r>
              <w:rPr>
                <w:rFonts w:hint="eastAsia" w:ascii="仿宋_GB2312" w:hAnsi="仿宋_GB2312" w:eastAsia="仿宋_GB2312" w:cs="仿宋_GB2312"/>
                <w:sz w:val="21"/>
                <w:szCs w:val="21"/>
                <w:highlight w:val="none"/>
              </w:rPr>
              <w:t>(%)</w:t>
            </w:r>
          </w:p>
        </w:tc>
        <w:tc>
          <w:tcPr>
            <w:tcW w:w="906"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w:t>
            </w:r>
            <w:r>
              <w:rPr>
                <w:rFonts w:hint="eastAsia" w:ascii="仿宋_GB2312" w:hAnsi="仿宋_GB2312" w:eastAsia="仿宋_GB2312" w:cs="仿宋_GB2312"/>
                <w:sz w:val="21"/>
                <w:szCs w:val="21"/>
                <w:highlight w:val="none"/>
                <w:lang w:val="en-US" w:eastAsia="zh-CN"/>
              </w:rPr>
              <w:t>60</w:t>
            </w:r>
            <w:r>
              <w:rPr>
                <w:rFonts w:hint="eastAsia" w:ascii="仿宋_GB2312" w:hAnsi="仿宋_GB2312" w:eastAsia="仿宋_GB2312" w:cs="仿宋_GB2312"/>
                <w:sz w:val="21"/>
                <w:szCs w:val="21"/>
                <w:highlight w:val="none"/>
              </w:rPr>
              <w:t>%</w:t>
            </w:r>
          </w:p>
        </w:tc>
        <w:tc>
          <w:tcPr>
            <w:tcW w:w="454"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default"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68.86%</w:t>
            </w:r>
          </w:p>
        </w:tc>
        <w:tc>
          <w:tcPr>
            <w:tcW w:w="484"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default"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71.36%</w:t>
            </w:r>
          </w:p>
        </w:tc>
        <w:tc>
          <w:tcPr>
            <w:tcW w:w="1495"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满分:达到标准值</w:t>
            </w:r>
          </w:p>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val="en-US" w:eastAsia="zh-CN"/>
              </w:rPr>
              <w:t>零分:低于标准值</w:t>
            </w:r>
          </w:p>
        </w:tc>
        <w:tc>
          <w:tcPr>
            <w:tcW w:w="236"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8" w:hRule="atLeast"/>
        </w:trPr>
        <w:tc>
          <w:tcPr>
            <w:tcW w:w="319" w:type="pct"/>
            <w:vMerge w:val="continue"/>
            <w:vAlign w:val="center"/>
          </w:tcPr>
          <w:p>
            <w:pPr>
              <w:pStyle w:val="17"/>
              <w:keepNext w:val="0"/>
              <w:keepLines w:val="0"/>
              <w:pageBreakBefore w:val="0"/>
              <w:wordWrap/>
              <w:overflowPunct/>
              <w:topLinePunct w:val="0"/>
              <w:bidi w:val="0"/>
              <w:spacing w:line="596" w:lineRule="exact"/>
              <w:jc w:val="center"/>
              <w:rPr>
                <w:rFonts w:asciiTheme="majorEastAsia" w:hAnsiTheme="majorEastAsia" w:eastAsiaTheme="majorEastAsia"/>
                <w:sz w:val="16"/>
                <w:szCs w:val="16"/>
                <w:highlight w:val="none"/>
              </w:rPr>
            </w:pPr>
          </w:p>
        </w:tc>
        <w:tc>
          <w:tcPr>
            <w:tcW w:w="315" w:type="pct"/>
            <w:vMerge w:val="continue"/>
            <w:vAlign w:val="center"/>
          </w:tcPr>
          <w:p>
            <w:pPr>
              <w:pStyle w:val="17"/>
              <w:keepNext w:val="0"/>
              <w:keepLines w:val="0"/>
              <w:pageBreakBefore w:val="0"/>
              <w:wordWrap/>
              <w:overflowPunct/>
              <w:topLinePunct w:val="0"/>
              <w:bidi w:val="0"/>
              <w:spacing w:line="596" w:lineRule="exact"/>
              <w:jc w:val="center"/>
              <w:rPr>
                <w:rFonts w:asciiTheme="majorEastAsia" w:hAnsiTheme="majorEastAsia" w:eastAsiaTheme="majorEastAsia"/>
                <w:sz w:val="16"/>
                <w:szCs w:val="16"/>
                <w:highlight w:val="none"/>
              </w:rPr>
            </w:pPr>
          </w:p>
        </w:tc>
        <w:tc>
          <w:tcPr>
            <w:tcW w:w="785"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实行按病种（组）、按人头付费等支付方式改革</w:t>
            </w:r>
          </w:p>
        </w:tc>
        <w:tc>
          <w:tcPr>
            <w:tcW w:w="906"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逐步推开</w:t>
            </w:r>
          </w:p>
        </w:tc>
        <w:tc>
          <w:tcPr>
            <w:tcW w:w="454"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逐步推开</w:t>
            </w:r>
          </w:p>
        </w:tc>
        <w:tc>
          <w:tcPr>
            <w:tcW w:w="484"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逐步推开</w:t>
            </w:r>
          </w:p>
        </w:tc>
        <w:tc>
          <w:tcPr>
            <w:tcW w:w="1495" w:type="pct"/>
            <w:vAlign w:val="center"/>
          </w:tcPr>
          <w:p>
            <w:pPr>
              <w:pStyle w:val="17"/>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满分:省级出台支付方式改革文件并落实到位。DRG、DIP付费</w:t>
            </w:r>
            <w:r>
              <w:rPr>
                <w:rFonts w:hint="eastAsia" w:ascii="仿宋_GB2312" w:hAnsi="仿宋_GB2312" w:eastAsia="仿宋_GB2312" w:cs="仿宋_GB2312"/>
                <w:sz w:val="21"/>
                <w:szCs w:val="21"/>
                <w:highlight w:val="none"/>
                <w:lang w:val="en-US" w:eastAsia="zh-CN"/>
              </w:rPr>
              <w:t>交叉调研</w:t>
            </w:r>
            <w:r>
              <w:rPr>
                <w:rFonts w:hint="eastAsia" w:ascii="仿宋_GB2312" w:hAnsi="仿宋_GB2312" w:eastAsia="仿宋_GB2312" w:cs="仿宋_GB2312"/>
                <w:sz w:val="21"/>
                <w:szCs w:val="21"/>
                <w:highlight w:val="none"/>
              </w:rPr>
              <w:t>结果为“优秀”</w:t>
            </w:r>
          </w:p>
          <w:p>
            <w:pPr>
              <w:pStyle w:val="17"/>
              <w:keepNext w:val="0"/>
              <w:keepLines w:val="0"/>
              <w:pageBreakBefore w:val="0"/>
              <w:widowControl/>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rPr>
              <w:t>合格</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lang w:val="en-US" w:eastAsia="zh-CN"/>
              </w:rPr>
              <w:t>3分</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rPr>
              <w:t>:省级出台支付方式改革文件并落实到位，有国家支付方式改革和DRG、DIP</w:t>
            </w:r>
            <w:r>
              <w:rPr>
                <w:rFonts w:hint="eastAsia" w:ascii="仿宋_GB2312" w:hAnsi="仿宋_GB2312" w:eastAsia="仿宋_GB2312" w:cs="仿宋_GB2312"/>
                <w:sz w:val="21"/>
                <w:szCs w:val="21"/>
                <w:highlight w:val="none"/>
                <w:lang w:val="en-US" w:eastAsia="zh-CN"/>
              </w:rPr>
              <w:t>交叉调研结果为合格之上。</w:t>
            </w:r>
          </w:p>
          <w:p>
            <w:pPr>
              <w:pStyle w:val="17"/>
              <w:keepNext w:val="0"/>
              <w:keepLines w:val="0"/>
              <w:pageBreakBefore w:val="0"/>
              <w:widowControl/>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rPr>
              <w:t>零分:</w:t>
            </w:r>
            <w:r>
              <w:rPr>
                <w:rFonts w:hint="eastAsia" w:ascii="仿宋_GB2312" w:hAnsi="仿宋_GB2312" w:eastAsia="仿宋_GB2312" w:cs="仿宋_GB2312"/>
                <w:sz w:val="21"/>
                <w:szCs w:val="21"/>
                <w:highlight w:val="none"/>
                <w:lang w:val="en-US" w:eastAsia="zh-CN"/>
              </w:rPr>
              <w:t>交叉调研结果不合格</w:t>
            </w:r>
          </w:p>
        </w:tc>
        <w:tc>
          <w:tcPr>
            <w:tcW w:w="236"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319" w:type="pct"/>
            <w:vMerge w:val="continue"/>
            <w:vAlign w:val="center"/>
          </w:tcPr>
          <w:p>
            <w:pPr>
              <w:pStyle w:val="17"/>
              <w:keepNext w:val="0"/>
              <w:keepLines w:val="0"/>
              <w:pageBreakBefore w:val="0"/>
              <w:wordWrap/>
              <w:overflowPunct/>
              <w:topLinePunct w:val="0"/>
              <w:bidi w:val="0"/>
              <w:spacing w:line="596" w:lineRule="exact"/>
              <w:jc w:val="center"/>
              <w:rPr>
                <w:rFonts w:asciiTheme="majorEastAsia" w:hAnsiTheme="majorEastAsia" w:eastAsiaTheme="majorEastAsia"/>
                <w:sz w:val="16"/>
                <w:szCs w:val="16"/>
                <w:highlight w:val="none"/>
              </w:rPr>
            </w:pPr>
          </w:p>
        </w:tc>
        <w:tc>
          <w:tcPr>
            <w:tcW w:w="315" w:type="pct"/>
            <w:vMerge w:val="continue"/>
            <w:vAlign w:val="center"/>
          </w:tcPr>
          <w:p>
            <w:pPr>
              <w:pStyle w:val="17"/>
              <w:keepNext w:val="0"/>
              <w:keepLines w:val="0"/>
              <w:pageBreakBefore w:val="0"/>
              <w:wordWrap/>
              <w:overflowPunct/>
              <w:topLinePunct w:val="0"/>
              <w:bidi w:val="0"/>
              <w:spacing w:line="596" w:lineRule="exact"/>
              <w:jc w:val="center"/>
              <w:rPr>
                <w:rFonts w:asciiTheme="majorEastAsia" w:hAnsiTheme="majorEastAsia" w:eastAsiaTheme="majorEastAsia"/>
                <w:sz w:val="16"/>
                <w:szCs w:val="16"/>
                <w:highlight w:val="none"/>
              </w:rPr>
            </w:pPr>
          </w:p>
        </w:tc>
        <w:tc>
          <w:tcPr>
            <w:tcW w:w="785"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开展门诊统筹</w:t>
            </w:r>
          </w:p>
        </w:tc>
        <w:tc>
          <w:tcPr>
            <w:tcW w:w="906"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普遍开展</w:t>
            </w:r>
          </w:p>
        </w:tc>
        <w:tc>
          <w:tcPr>
            <w:tcW w:w="454"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普遍开展</w:t>
            </w:r>
          </w:p>
        </w:tc>
        <w:tc>
          <w:tcPr>
            <w:tcW w:w="484"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普遍开展</w:t>
            </w:r>
          </w:p>
        </w:tc>
        <w:tc>
          <w:tcPr>
            <w:tcW w:w="1495" w:type="pct"/>
            <w:vAlign w:val="center"/>
          </w:tcPr>
          <w:p>
            <w:pPr>
              <w:pStyle w:val="17"/>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满分:省级出台相关文件、制定工作方案;已全面实现门诊统筹</w:t>
            </w:r>
          </w:p>
          <w:p>
            <w:pPr>
              <w:pStyle w:val="17"/>
              <w:keepNext w:val="0"/>
              <w:keepLines w:val="0"/>
              <w:pageBreakBefore w:val="0"/>
              <w:widowControl/>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rPr>
              <w:t>合格</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lang w:val="en-US" w:eastAsia="zh-CN"/>
              </w:rPr>
              <w:t>3分</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rPr>
              <w:t>:省级出台相应的文件</w:t>
            </w:r>
          </w:p>
          <w:p>
            <w:pPr>
              <w:pStyle w:val="17"/>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零分:省级未出台相应文件，有个人账户的</w:t>
            </w:r>
          </w:p>
          <w:p>
            <w:pPr>
              <w:pStyle w:val="17"/>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其他:合格之上:有方案和时间表,增加20%;有部分统筹区地区实现门诊统筹,增加20%</w:t>
            </w:r>
          </w:p>
        </w:tc>
        <w:tc>
          <w:tcPr>
            <w:tcW w:w="236"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z w:val="21"/>
                <w:szCs w:val="21"/>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8" w:hRule="atLeast"/>
        </w:trPr>
        <w:tc>
          <w:tcPr>
            <w:tcW w:w="319" w:type="pct"/>
            <w:vMerge w:val="continue"/>
            <w:vAlign w:val="center"/>
          </w:tcPr>
          <w:p>
            <w:pPr>
              <w:pStyle w:val="17"/>
              <w:keepNext w:val="0"/>
              <w:keepLines w:val="0"/>
              <w:pageBreakBefore w:val="0"/>
              <w:wordWrap/>
              <w:overflowPunct/>
              <w:topLinePunct w:val="0"/>
              <w:bidi w:val="0"/>
              <w:spacing w:line="596" w:lineRule="exact"/>
              <w:jc w:val="center"/>
              <w:rPr>
                <w:rFonts w:asciiTheme="majorEastAsia" w:hAnsiTheme="majorEastAsia" w:eastAsiaTheme="majorEastAsia"/>
                <w:sz w:val="16"/>
                <w:szCs w:val="16"/>
                <w:highlight w:val="none"/>
              </w:rPr>
            </w:pPr>
          </w:p>
        </w:tc>
        <w:tc>
          <w:tcPr>
            <w:tcW w:w="315" w:type="pct"/>
            <w:vMerge w:val="continue"/>
            <w:vAlign w:val="center"/>
          </w:tcPr>
          <w:p>
            <w:pPr>
              <w:pStyle w:val="17"/>
              <w:keepNext w:val="0"/>
              <w:keepLines w:val="0"/>
              <w:pageBreakBefore w:val="0"/>
              <w:wordWrap/>
              <w:overflowPunct/>
              <w:topLinePunct w:val="0"/>
              <w:bidi w:val="0"/>
              <w:spacing w:line="596" w:lineRule="exact"/>
              <w:jc w:val="center"/>
              <w:rPr>
                <w:rFonts w:asciiTheme="majorEastAsia" w:hAnsiTheme="majorEastAsia" w:eastAsiaTheme="majorEastAsia"/>
                <w:sz w:val="16"/>
                <w:szCs w:val="16"/>
                <w:highlight w:val="none"/>
              </w:rPr>
            </w:pPr>
          </w:p>
        </w:tc>
        <w:tc>
          <w:tcPr>
            <w:tcW w:w="785"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基金滚存结余可支付月数(月)</w:t>
            </w:r>
          </w:p>
        </w:tc>
        <w:tc>
          <w:tcPr>
            <w:tcW w:w="906"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6-9个月</w:t>
            </w:r>
          </w:p>
        </w:tc>
        <w:tc>
          <w:tcPr>
            <w:tcW w:w="454"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default"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10</w:t>
            </w:r>
          </w:p>
        </w:tc>
        <w:tc>
          <w:tcPr>
            <w:tcW w:w="484"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default"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9</w:t>
            </w:r>
          </w:p>
        </w:tc>
        <w:tc>
          <w:tcPr>
            <w:tcW w:w="1495"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满分:达到指标值</w:t>
            </w:r>
          </w:p>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零分:实际值低于或高于指标值</w:t>
            </w:r>
          </w:p>
        </w:tc>
        <w:tc>
          <w:tcPr>
            <w:tcW w:w="236"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default"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1" w:hRule="atLeast"/>
        </w:trPr>
        <w:tc>
          <w:tcPr>
            <w:tcW w:w="319" w:type="pct"/>
            <w:vMerge w:val="continue"/>
            <w:vAlign w:val="center"/>
          </w:tcPr>
          <w:p>
            <w:pPr>
              <w:pStyle w:val="17"/>
              <w:keepNext w:val="0"/>
              <w:keepLines w:val="0"/>
              <w:pageBreakBefore w:val="0"/>
              <w:wordWrap/>
              <w:overflowPunct/>
              <w:topLinePunct w:val="0"/>
              <w:bidi w:val="0"/>
              <w:spacing w:line="596" w:lineRule="exact"/>
              <w:jc w:val="center"/>
              <w:rPr>
                <w:rFonts w:asciiTheme="majorEastAsia" w:hAnsiTheme="majorEastAsia" w:eastAsiaTheme="majorEastAsia"/>
                <w:sz w:val="16"/>
                <w:szCs w:val="16"/>
                <w:highlight w:val="none"/>
              </w:rPr>
            </w:pPr>
          </w:p>
        </w:tc>
        <w:tc>
          <w:tcPr>
            <w:tcW w:w="315"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Theme="majorEastAsia" w:hAnsiTheme="majorEastAsia" w:eastAsiaTheme="majorEastAsia"/>
                <w:sz w:val="16"/>
                <w:szCs w:val="16"/>
                <w:highlight w:val="none"/>
              </w:rPr>
            </w:pPr>
            <w:r>
              <w:rPr>
                <w:rFonts w:hint="eastAsia" w:ascii="仿宋_GB2312" w:hAnsi="仿宋_GB2312" w:eastAsia="仿宋_GB2312" w:cs="仿宋_GB2312"/>
                <w:sz w:val="21"/>
                <w:szCs w:val="21"/>
                <w:highlight w:val="none"/>
              </w:rPr>
              <w:t>时效指标</w:t>
            </w:r>
          </w:p>
        </w:tc>
        <w:tc>
          <w:tcPr>
            <w:tcW w:w="785"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eastAsia="zh-CN"/>
              </w:rPr>
              <w:t>医疗费用即时结算</w:t>
            </w:r>
            <w:r>
              <w:rPr>
                <w:rFonts w:hint="default" w:ascii="仿宋_GB2312" w:hAnsi="仿宋_GB2312" w:eastAsia="仿宋_GB2312" w:cs="仿宋_GB2312"/>
                <w:sz w:val="21"/>
                <w:szCs w:val="21"/>
                <w:highlight w:val="none"/>
              </w:rPr>
              <w:t>率（%）</w:t>
            </w:r>
          </w:p>
        </w:tc>
        <w:tc>
          <w:tcPr>
            <w:tcW w:w="906"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&gt;</w:t>
            </w:r>
            <w:r>
              <w:rPr>
                <w:rFonts w:hint="eastAsia" w:ascii="仿宋_GB2312" w:hAnsi="仿宋_GB2312" w:eastAsia="仿宋_GB2312" w:cs="仿宋_GB2312"/>
                <w:sz w:val="21"/>
                <w:szCs w:val="21"/>
                <w:highlight w:val="none"/>
                <w:lang w:val="en-US" w:eastAsia="zh-CN"/>
              </w:rPr>
              <w:t>95</w:t>
            </w:r>
            <w:r>
              <w:rPr>
                <w:rFonts w:hint="default" w:ascii="仿宋_GB2312" w:hAnsi="仿宋_GB2312" w:eastAsia="仿宋_GB2312" w:cs="仿宋_GB2312"/>
                <w:sz w:val="21"/>
                <w:szCs w:val="21"/>
                <w:highlight w:val="none"/>
              </w:rPr>
              <w:t>%</w:t>
            </w:r>
          </w:p>
        </w:tc>
        <w:tc>
          <w:tcPr>
            <w:tcW w:w="454"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default"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100%</w:t>
            </w:r>
          </w:p>
        </w:tc>
        <w:tc>
          <w:tcPr>
            <w:tcW w:w="484"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default"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100%</w:t>
            </w:r>
          </w:p>
        </w:tc>
        <w:tc>
          <w:tcPr>
            <w:tcW w:w="1495"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满分:&gt;</w:t>
            </w:r>
            <w:r>
              <w:rPr>
                <w:rFonts w:hint="eastAsia" w:ascii="仿宋_GB2312" w:hAnsi="仿宋_GB2312" w:eastAsia="仿宋_GB2312" w:cs="仿宋_GB2312"/>
                <w:sz w:val="21"/>
                <w:szCs w:val="21"/>
                <w:highlight w:val="none"/>
                <w:lang w:val="en-US" w:eastAsia="zh-CN"/>
              </w:rPr>
              <w:t>95%</w:t>
            </w:r>
            <w:r>
              <w:rPr>
                <w:rFonts w:hint="eastAsia" w:ascii="仿宋_GB2312" w:hAnsi="仿宋_GB2312" w:eastAsia="仿宋_GB2312" w:cs="仿宋_GB2312"/>
                <w:sz w:val="21"/>
                <w:szCs w:val="21"/>
                <w:highlight w:val="none"/>
              </w:rPr>
              <w:br w:type="textWrapping"/>
            </w:r>
            <w:r>
              <w:rPr>
                <w:rFonts w:hint="eastAsia" w:ascii="仿宋_GB2312" w:hAnsi="仿宋_GB2312" w:eastAsia="仿宋_GB2312" w:cs="仿宋_GB2312"/>
                <w:sz w:val="21"/>
                <w:szCs w:val="21"/>
                <w:highlight w:val="none"/>
              </w:rPr>
              <w:t>零分:</w:t>
            </w:r>
            <w:r>
              <w:rPr>
                <w:rFonts w:hint="eastAsia" w:ascii="仿宋_GB2312" w:hAnsi="仿宋_GB2312" w:eastAsia="仿宋_GB2312" w:cs="仿宋_GB2312"/>
                <w:sz w:val="21"/>
                <w:szCs w:val="21"/>
                <w:highlight w:val="none"/>
                <w:lang w:eastAsia="zh-CN"/>
              </w:rPr>
              <w:t>未达到指标值</w:t>
            </w:r>
          </w:p>
        </w:tc>
        <w:tc>
          <w:tcPr>
            <w:tcW w:w="236" w:type="pct"/>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sz w:val="21"/>
                <w:szCs w:val="21"/>
                <w:highlight w:val="none"/>
              </w:rPr>
            </w:pPr>
            <w:r>
              <w:rPr>
                <w:rFonts w:hint="default" w:ascii="仿宋_GB2312" w:hAnsi="仿宋_GB2312" w:eastAsia="仿宋_GB2312" w:cs="仿宋_GB2312"/>
                <w:sz w:val="21"/>
                <w:szCs w:val="21"/>
                <w:highlight w:val="none"/>
              </w:rPr>
              <w:t>3</w:t>
            </w:r>
          </w:p>
        </w:tc>
      </w:tr>
    </w:tbl>
    <w:p>
      <w:pPr>
        <w:spacing w:line="600" w:lineRule="exact"/>
        <w:ind w:firstLine="640" w:firstLineChars="200"/>
        <w:rPr>
          <w:rFonts w:hint="eastAsia" w:ascii="方正仿宋_GB2312" w:hAnsi="方正仿宋_GB2312" w:eastAsia="方正仿宋_GB2312" w:cs="方正仿宋_GB2312"/>
          <w:sz w:val="32"/>
          <w:szCs w:val="44"/>
          <w:highlight w:val="none"/>
        </w:rPr>
      </w:pPr>
      <w:r>
        <w:rPr>
          <w:rFonts w:hint="eastAsia" w:ascii="方正仿宋_GB2312" w:hAnsi="方正仿宋_GB2312" w:eastAsia="方正仿宋_GB2312" w:cs="方正仿宋_GB2312"/>
          <w:sz w:val="32"/>
          <w:szCs w:val="44"/>
          <w:highlight w:val="none"/>
        </w:rPr>
        <w:t>（1）得分原因：</w:t>
      </w:r>
    </w:p>
    <w:p>
      <w:pPr>
        <w:spacing w:line="600" w:lineRule="exact"/>
        <w:ind w:firstLine="640" w:firstLineChars="200"/>
        <w:rPr>
          <w:rFonts w:hint="eastAsia" w:ascii="方正仿宋_GB2312" w:hAnsi="方正仿宋_GB2312" w:eastAsia="方正仿宋_GB2312" w:cs="方正仿宋_GB2312"/>
          <w:sz w:val="32"/>
          <w:szCs w:val="44"/>
          <w:highlight w:val="none"/>
        </w:rPr>
      </w:pPr>
      <w:r>
        <w:rPr>
          <w:rFonts w:hint="eastAsia" w:ascii="方正仿宋_GB2312" w:hAnsi="方正仿宋_GB2312" w:eastAsia="方正仿宋_GB2312" w:cs="方正仿宋_GB2312"/>
          <w:sz w:val="32"/>
          <w:szCs w:val="44"/>
          <w:highlight w:val="none"/>
        </w:rPr>
        <w:t>①绩效目标的设立合理、可行；②体现了“稳定参保率、稳步提高保障水平、实现基金收支平衡”等年度总体目标的基本要素，明确了产出指标、满意度指标等绩效指标要求；③绩效指标充分细化、量化。</w:t>
      </w:r>
    </w:p>
    <w:p>
      <w:pPr>
        <w:spacing w:line="600" w:lineRule="exact"/>
        <w:ind w:firstLine="640" w:firstLineChars="200"/>
        <w:rPr>
          <w:rFonts w:hint="eastAsia" w:ascii="方正仿宋_GB2312" w:hAnsi="方正仿宋_GB2312" w:eastAsia="方正仿宋_GB2312" w:cs="方正仿宋_GB2312"/>
          <w:sz w:val="32"/>
          <w:szCs w:val="44"/>
          <w:highlight w:val="none"/>
        </w:rPr>
      </w:pPr>
      <w:r>
        <w:rPr>
          <w:rFonts w:hint="eastAsia" w:ascii="方正仿宋_GB2312" w:hAnsi="方正仿宋_GB2312" w:eastAsia="方正仿宋_GB2312" w:cs="方正仿宋_GB2312"/>
          <w:sz w:val="32"/>
          <w:szCs w:val="44"/>
          <w:highlight w:val="none"/>
        </w:rPr>
        <w:t>（2）失分原因：</w:t>
      </w:r>
    </w:p>
    <w:p>
      <w:pPr>
        <w:pStyle w:val="4"/>
        <w:spacing w:line="600" w:lineRule="exact"/>
        <w:ind w:firstLine="600"/>
        <w:rPr>
          <w:rFonts w:hint="default" w:ascii="方正仿宋_GB2312" w:hAnsi="方正仿宋_GB2312" w:eastAsia="方正仿宋_GB2312" w:cs="方正仿宋_GB2312"/>
          <w:kern w:val="2"/>
          <w:sz w:val="32"/>
          <w:szCs w:val="44"/>
          <w:highlight w:val="none"/>
          <w:lang w:val="en-US" w:eastAsia="zh-CN" w:bidi="ar-SA"/>
        </w:rPr>
      </w:pPr>
      <w:r>
        <w:rPr>
          <w:rFonts w:hint="eastAsia" w:ascii="方正仿宋_GB2312" w:hAnsi="方正仿宋_GB2312" w:eastAsia="方正仿宋_GB2312" w:cs="方正仿宋_GB2312"/>
          <w:kern w:val="2"/>
          <w:sz w:val="32"/>
          <w:szCs w:val="44"/>
          <w:highlight w:val="none"/>
          <w:lang w:val="en-US" w:eastAsia="zh-CN" w:bidi="ar-SA"/>
        </w:rPr>
        <w:t>①参保人数未达标；②以常住人口为基数计算的基本医保综合参保率偏低；③存在重复参保情况及基金可支付月数偏高。</w:t>
      </w:r>
    </w:p>
    <w:p>
      <w:pPr>
        <w:pStyle w:val="29"/>
        <w:spacing w:after="0" w:line="600" w:lineRule="exact"/>
        <w:ind w:firstLine="640" w:firstLineChars="200"/>
        <w:rPr>
          <w:rFonts w:hint="eastAsia" w:ascii="方正仿宋_GB2312" w:hAnsi="方正仿宋_GB2312" w:eastAsia="方正仿宋_GB2312" w:cs="方正仿宋_GB2312"/>
          <w:kern w:val="2"/>
          <w:sz w:val="32"/>
          <w:szCs w:val="44"/>
          <w:highlight w:val="none"/>
          <w:lang w:val="en-US" w:eastAsia="zh-CN" w:bidi="ar-SA"/>
        </w:rPr>
      </w:pPr>
      <w:r>
        <w:rPr>
          <w:rFonts w:hint="eastAsia" w:ascii="方正仿宋_GB2312" w:hAnsi="方正仿宋_GB2312" w:eastAsia="方正仿宋_GB2312" w:cs="方正仿宋_GB2312"/>
          <w:kern w:val="2"/>
          <w:sz w:val="32"/>
          <w:szCs w:val="44"/>
          <w:highlight w:val="none"/>
          <w:lang w:val="en-US" w:eastAsia="zh-CN" w:bidi="ar-SA"/>
        </w:rPr>
        <w:t>4.满意度指标指标分值10分，实际得分10分、失分0.00分，得分率100.00%。满意度指标得分情况如下表所示：</w:t>
      </w:r>
    </w:p>
    <w:tbl>
      <w:tblPr>
        <w:tblStyle w:val="14"/>
        <w:tblW w:w="86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5"/>
        <w:gridCol w:w="548"/>
        <w:gridCol w:w="1521"/>
        <w:gridCol w:w="1416"/>
        <w:gridCol w:w="790"/>
        <w:gridCol w:w="841"/>
        <w:gridCol w:w="2593"/>
        <w:gridCol w:w="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55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满意度指标(10分)</w:t>
            </w:r>
          </w:p>
        </w:tc>
        <w:tc>
          <w:tcPr>
            <w:tcW w:w="548"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2"/>
                <w:sz w:val="21"/>
                <w:szCs w:val="21"/>
                <w:highlight w:val="none"/>
                <w:lang w:val="en-US" w:eastAsia="zh-CN" w:bidi="ar-SA"/>
              </w:rPr>
            </w:pPr>
          </w:p>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服务对象满意度</w:t>
            </w:r>
          </w:p>
        </w:tc>
        <w:tc>
          <w:tcPr>
            <w:tcW w:w="1521"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参保对象满意度</w:t>
            </w:r>
          </w:p>
        </w:tc>
        <w:tc>
          <w:tcPr>
            <w:tcW w:w="1416"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≥85%</w:t>
            </w:r>
          </w:p>
        </w:tc>
        <w:tc>
          <w:tcPr>
            <w:tcW w:w="790"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99%</w:t>
            </w:r>
          </w:p>
        </w:tc>
        <w:tc>
          <w:tcPr>
            <w:tcW w:w="841"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99%</w:t>
            </w:r>
          </w:p>
        </w:tc>
        <w:tc>
          <w:tcPr>
            <w:tcW w:w="2593"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满分:&gt;85%</w:t>
            </w:r>
          </w:p>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合格（6分）:85%</w:t>
            </w:r>
          </w:p>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零分:&lt;85%</w:t>
            </w:r>
          </w:p>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仿宋_GB2312" w:eastAsia="仿宋_GB2312" w:cs="仿宋_GB2312"/>
                <w:kern w:val="2"/>
                <w:sz w:val="21"/>
                <w:szCs w:val="21"/>
                <w:highlight w:val="none"/>
                <w:lang w:val="en-US" w:eastAsia="zh-CN" w:bidi="ar-SA"/>
              </w:rPr>
            </w:pPr>
          </w:p>
        </w:tc>
        <w:tc>
          <w:tcPr>
            <w:tcW w:w="411" w:type="dxa"/>
            <w:vAlign w:val="center"/>
          </w:tcPr>
          <w:p>
            <w:pPr>
              <w:pStyle w:val="17"/>
              <w:keepNext w:val="0"/>
              <w:keepLines w:val="0"/>
              <w:pageBreakBefore w:val="0"/>
              <w:widowControl/>
              <w:kinsoku/>
              <w:wordWrap/>
              <w:overflowPunct/>
              <w:topLinePunct w:val="0"/>
              <w:autoSpaceDE/>
              <w:autoSpaceDN/>
              <w:bidi w:val="0"/>
              <w:adjustRightInd/>
              <w:snapToGrid/>
              <w:spacing w:line="240" w:lineRule="exact"/>
              <w:textAlignment w:val="auto"/>
              <w:rPr>
                <w:rFonts w:hint="default"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kern w:val="2"/>
                <w:sz w:val="21"/>
                <w:szCs w:val="21"/>
                <w:highlight w:val="none"/>
                <w:lang w:val="en-US" w:eastAsia="zh-CN" w:bidi="ar-SA"/>
              </w:rPr>
              <w:t>10</w:t>
            </w:r>
          </w:p>
        </w:tc>
      </w:tr>
    </w:tbl>
    <w:p>
      <w:pPr>
        <w:spacing w:line="600" w:lineRule="exact"/>
        <w:ind w:firstLine="640" w:firstLineChars="200"/>
        <w:rPr>
          <w:rFonts w:hint="eastAsia" w:ascii="方正仿宋_GB2312" w:hAnsi="方正仿宋_GB2312" w:eastAsia="方正仿宋_GB2312" w:cs="方正仿宋_GB2312"/>
          <w:kern w:val="2"/>
          <w:sz w:val="32"/>
          <w:szCs w:val="44"/>
          <w:highlight w:val="none"/>
          <w:lang w:val="en-US" w:eastAsia="zh-CN" w:bidi="ar-SA"/>
        </w:rPr>
      </w:pPr>
      <w:r>
        <w:rPr>
          <w:rFonts w:hint="eastAsia" w:ascii="方正仿宋_GB2312" w:hAnsi="方正仿宋_GB2312" w:eastAsia="方正仿宋_GB2312" w:cs="方正仿宋_GB2312"/>
          <w:kern w:val="2"/>
          <w:sz w:val="32"/>
          <w:szCs w:val="44"/>
          <w:highlight w:val="none"/>
          <w:lang w:val="en-US" w:eastAsia="zh-CN" w:bidi="ar-SA"/>
        </w:rPr>
        <w:t>（1）得分原因：</w:t>
      </w:r>
    </w:p>
    <w:p>
      <w:pPr>
        <w:spacing w:line="600" w:lineRule="exact"/>
        <w:ind w:firstLine="640" w:firstLineChars="200"/>
        <w:rPr>
          <w:rFonts w:hint="eastAsia" w:ascii="方正仿宋_GB2312" w:hAnsi="方正仿宋_GB2312" w:eastAsia="方正仿宋_GB2312" w:cs="方正仿宋_GB2312"/>
          <w:kern w:val="2"/>
          <w:sz w:val="32"/>
          <w:szCs w:val="44"/>
          <w:highlight w:val="none"/>
          <w:lang w:val="en-US" w:eastAsia="zh-CN" w:bidi="ar-SA"/>
        </w:rPr>
      </w:pPr>
      <w:r>
        <w:rPr>
          <w:rFonts w:hint="eastAsia" w:ascii="方正仿宋_GB2312" w:hAnsi="方正仿宋_GB2312" w:eastAsia="方正仿宋_GB2312" w:cs="方正仿宋_GB2312"/>
          <w:kern w:val="2"/>
          <w:sz w:val="32"/>
          <w:szCs w:val="44"/>
          <w:highlight w:val="none"/>
          <w:lang w:val="en-US" w:eastAsia="zh-CN" w:bidi="ar-SA"/>
        </w:rPr>
        <w:t>①绩效目标的设立合理、可行；②体现了“稳定参保率、稳步提高保障水平、实现基金收支平衡”等年度总体目标的基本要素，明确了产出指标、满意度指标等绩效指标要求；③绩效指标充分细化、量化。</w:t>
      </w:r>
    </w:p>
    <w:p>
      <w:pPr>
        <w:spacing w:line="600" w:lineRule="exact"/>
        <w:ind w:firstLine="640" w:firstLineChars="200"/>
        <w:rPr>
          <w:rFonts w:hint="eastAsia" w:ascii="方正仿宋_GB2312" w:hAnsi="方正仿宋_GB2312" w:eastAsia="方正仿宋_GB2312" w:cs="方正仿宋_GB2312"/>
          <w:kern w:val="2"/>
          <w:sz w:val="32"/>
          <w:szCs w:val="44"/>
          <w:highlight w:val="none"/>
          <w:lang w:val="en-US" w:eastAsia="zh-CN" w:bidi="ar-SA"/>
        </w:rPr>
      </w:pPr>
      <w:r>
        <w:rPr>
          <w:rFonts w:hint="eastAsia" w:ascii="方正仿宋_GB2312" w:hAnsi="方正仿宋_GB2312" w:eastAsia="方正仿宋_GB2312" w:cs="方正仿宋_GB2312"/>
          <w:kern w:val="2"/>
          <w:sz w:val="32"/>
          <w:szCs w:val="44"/>
          <w:highlight w:val="none"/>
          <w:lang w:val="en-US" w:eastAsia="zh-CN" w:bidi="ar-SA"/>
        </w:rPr>
        <w:t>（2）失分原因：</w:t>
      </w:r>
    </w:p>
    <w:p>
      <w:pPr>
        <w:pStyle w:val="4"/>
        <w:spacing w:line="600" w:lineRule="exact"/>
        <w:ind w:firstLine="600"/>
        <w:rPr>
          <w:rFonts w:hint="eastAsia" w:ascii="方正仿宋_GB2312" w:hAnsi="方正仿宋_GB2312" w:eastAsia="方正仿宋_GB2312" w:cs="方正仿宋_GB2312"/>
          <w:kern w:val="2"/>
          <w:sz w:val="32"/>
          <w:szCs w:val="44"/>
          <w:highlight w:val="none"/>
          <w:lang w:val="en-US" w:eastAsia="zh-CN" w:bidi="ar-SA"/>
        </w:rPr>
      </w:pPr>
      <w:r>
        <w:rPr>
          <w:rFonts w:hint="eastAsia" w:ascii="方正仿宋_GB2312" w:hAnsi="方正仿宋_GB2312" w:eastAsia="方正仿宋_GB2312" w:cs="方正仿宋_GB2312"/>
          <w:kern w:val="2"/>
          <w:sz w:val="32"/>
          <w:szCs w:val="44"/>
          <w:highlight w:val="none"/>
          <w:lang w:val="en-US" w:eastAsia="zh-CN" w:bidi="ar-SA"/>
        </w:rPr>
        <w:t>无。</w:t>
      </w:r>
    </w:p>
    <w:p>
      <w:pPr>
        <w:pStyle w:val="10"/>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ind w:left="0" w:right="0" w:firstLine="643" w:firstLineChars="200"/>
        <w:textAlignment w:val="auto"/>
        <w:rPr>
          <w:rFonts w:hint="eastAsia" w:ascii="黑体" w:hAnsi="黑体" w:eastAsia="黑体" w:cs="黑体"/>
          <w:b/>
          <w:bCs/>
          <w:sz w:val="32"/>
          <w:szCs w:val="36"/>
          <w:highlight w:val="none"/>
          <w:lang w:val="en-US" w:eastAsia="zh-CN"/>
        </w:rPr>
      </w:pPr>
      <w:r>
        <w:rPr>
          <w:rFonts w:hint="eastAsia" w:ascii="黑体" w:hAnsi="黑体" w:eastAsia="黑体" w:cs="黑体"/>
          <w:b/>
          <w:bCs/>
          <w:sz w:val="32"/>
          <w:szCs w:val="36"/>
          <w:highlight w:val="none"/>
        </w:rPr>
        <w:t>存在的问题及原因分析</w:t>
      </w:r>
      <w:r>
        <w:rPr>
          <w:rFonts w:hint="eastAsia" w:ascii="黑体" w:hAnsi="黑体" w:eastAsia="黑体" w:cs="黑体"/>
          <w:b/>
          <w:bCs/>
          <w:sz w:val="32"/>
          <w:szCs w:val="36"/>
          <w:highlight w:val="none"/>
          <w:lang w:val="en-US" w:eastAsia="zh-CN"/>
        </w:rPr>
        <w:t>及下一步改进措施</w:t>
      </w:r>
    </w:p>
    <w:p>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0" w:right="0" w:rightChars="0" w:firstLine="640" w:firstLineChars="200"/>
        <w:textAlignment w:val="auto"/>
        <w:rPr>
          <w:rFonts w:hint="eastAsia" w:ascii="楷体" w:hAnsi="楷体" w:eastAsia="楷体" w:cs="楷体"/>
          <w:sz w:val="32"/>
          <w:szCs w:val="36"/>
          <w:highlight w:val="none"/>
          <w:lang w:val="en-US" w:eastAsia="zh-CN"/>
        </w:rPr>
      </w:pPr>
      <w:r>
        <w:rPr>
          <w:rFonts w:hint="eastAsia" w:ascii="楷体" w:hAnsi="楷体" w:eastAsia="楷体" w:cs="楷体"/>
          <w:sz w:val="32"/>
          <w:szCs w:val="36"/>
          <w:highlight w:val="none"/>
          <w:lang w:val="en-US" w:eastAsia="zh-CN"/>
        </w:rPr>
        <w:t>（一）未完成指标及原因</w:t>
      </w:r>
    </w:p>
    <w:p>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0" w:right="0" w:rightChars="0" w:firstLine="640" w:firstLineChars="200"/>
        <w:textAlignment w:val="auto"/>
        <w:rPr>
          <w:rFonts w:hint="eastAsia" w:ascii="方正仿宋_GB2312" w:hAnsi="方正仿宋_GB2312" w:eastAsia="方正仿宋_GB2312" w:cs="方正仿宋_GB2312"/>
          <w:sz w:val="32"/>
          <w:szCs w:val="36"/>
          <w:highlight w:val="none"/>
          <w:lang w:val="en-US" w:eastAsia="zh-CN"/>
        </w:rPr>
      </w:pPr>
      <w:r>
        <w:rPr>
          <w:rFonts w:hint="eastAsia" w:ascii="方正仿宋_GB2312" w:hAnsi="方正仿宋_GB2312" w:eastAsia="方正仿宋_GB2312" w:cs="方正仿宋_GB2312"/>
          <w:sz w:val="32"/>
          <w:szCs w:val="36"/>
          <w:highlight w:val="none"/>
          <w:lang w:val="en-US" w:eastAsia="zh-CN"/>
        </w:rPr>
        <w:t>1.“参保人数”指标，未完成的原因为：按照《关于加强和改进医疗保障信息平台基础数据治理工作的通知》要求，在新平台上线数据迁移过程中，对在多地存在参保关系并有多个社保账号的基础信息进行归并。存在多个“正常参保”及“暂停参保”的，需分步实施归并。各地州医保局按照《关于加强和改进基本医疗保障参保工作的实施意见》（新医保〔2021〕93号）进行数据清理。受此影响，我区当年居民参保人数略有降低。</w:t>
      </w:r>
    </w:p>
    <w:p>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0" w:right="0" w:rightChars="0" w:firstLine="640" w:firstLineChars="200"/>
        <w:textAlignment w:val="auto"/>
        <w:rPr>
          <w:rFonts w:hint="eastAsia" w:ascii="方正仿宋_GB2312" w:hAnsi="方正仿宋_GB2312" w:eastAsia="方正仿宋_GB2312" w:cs="方正仿宋_GB2312"/>
          <w:sz w:val="32"/>
          <w:szCs w:val="36"/>
          <w:highlight w:val="none"/>
          <w:lang w:val="en-US" w:eastAsia="zh-CN"/>
        </w:rPr>
      </w:pPr>
      <w:r>
        <w:rPr>
          <w:rFonts w:hint="eastAsia" w:ascii="方正仿宋_GB2312" w:hAnsi="方正仿宋_GB2312" w:eastAsia="方正仿宋_GB2312" w:cs="方正仿宋_GB2312"/>
          <w:sz w:val="32"/>
          <w:szCs w:val="36"/>
          <w:highlight w:val="none"/>
          <w:lang w:val="en-US" w:eastAsia="zh-CN"/>
        </w:rPr>
        <w:t>2.“以常住人口数为基数计算的基本参保综合参保率”指标，未完成的原因为：受人口流动因素影响，该综合参保率指标偏低。</w:t>
      </w:r>
    </w:p>
    <w:p>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0" w:right="0" w:rightChars="0" w:firstLine="640" w:firstLineChars="200"/>
        <w:textAlignment w:val="auto"/>
        <w:rPr>
          <w:rFonts w:hint="default" w:ascii="方正仿宋_GB2312" w:hAnsi="方正仿宋_GB2312" w:eastAsia="方正仿宋_GB2312" w:cs="方正仿宋_GB2312"/>
          <w:sz w:val="32"/>
          <w:szCs w:val="36"/>
          <w:highlight w:val="none"/>
          <w:lang w:val="en-US" w:eastAsia="zh-CN"/>
        </w:rPr>
      </w:pPr>
      <w:r>
        <w:rPr>
          <w:rFonts w:hint="eastAsia" w:ascii="方正仿宋_GB2312" w:hAnsi="方正仿宋_GB2312" w:eastAsia="方正仿宋_GB2312" w:cs="方正仿宋_GB2312"/>
          <w:sz w:val="32"/>
          <w:szCs w:val="36"/>
          <w:highlight w:val="none"/>
          <w:lang w:val="en-US" w:eastAsia="zh-CN"/>
        </w:rPr>
        <w:t>3.“重复参保人数”指标，未完成的原因为：特困人员城乡居民基本医疗保险个人缴费部分全部由当地财政代缴，当特困人员参保其他统筹地区城乡居民基本医疗保险时，个人缴费部分由个人承担，此时特困人员所属地区及个人缴费地区均确认为2022年度参保缴费，造成重复参保;兵团医保局与自治区医保局在向税务部门推送征缴信息过程中，身份证号一致但姓名不一致时，税务征缴系统认定为不同两人缴费，造成我区与兵团重复参保。其中：我区10970人重复参保尚与兵团医保部门核对中，实际重复参保人数请以新疆监管局核定后为准。</w:t>
      </w:r>
    </w:p>
    <w:p>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0" w:right="0" w:rightChars="0" w:firstLine="640" w:firstLineChars="200"/>
        <w:textAlignment w:val="auto"/>
        <w:rPr>
          <w:rFonts w:hint="default" w:ascii="楷体" w:hAnsi="楷体" w:eastAsia="楷体" w:cs="楷体"/>
          <w:sz w:val="32"/>
          <w:szCs w:val="36"/>
          <w:highlight w:val="none"/>
          <w:lang w:val="en-US" w:eastAsia="zh-CN"/>
        </w:rPr>
      </w:pPr>
      <w:r>
        <w:rPr>
          <w:rFonts w:hint="eastAsia" w:ascii="楷体" w:hAnsi="楷体" w:eastAsia="楷体" w:cs="楷体"/>
          <w:sz w:val="32"/>
          <w:szCs w:val="36"/>
          <w:highlight w:val="none"/>
          <w:lang w:val="en-US" w:eastAsia="zh-CN"/>
        </w:rPr>
        <w:t>（二）存在问题</w:t>
      </w:r>
    </w:p>
    <w:p>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0" w:right="0" w:rightChars="0" w:firstLine="640" w:firstLineChars="200"/>
        <w:textAlignment w:val="auto"/>
        <w:rPr>
          <w:rFonts w:hint="eastAsia" w:ascii="方正仿宋_GB2312" w:hAnsi="方正仿宋_GB2312" w:eastAsia="方正仿宋_GB2312" w:cs="方正仿宋_GB2312"/>
          <w:sz w:val="32"/>
          <w:szCs w:val="36"/>
          <w:highlight w:val="none"/>
          <w:lang w:val="en-US" w:eastAsia="zh-CN"/>
        </w:rPr>
      </w:pPr>
      <w:r>
        <w:rPr>
          <w:rFonts w:hint="eastAsia" w:ascii="方正仿宋_GB2312" w:hAnsi="方正仿宋_GB2312" w:eastAsia="方正仿宋_GB2312" w:cs="方正仿宋_GB2312"/>
          <w:sz w:val="32"/>
          <w:szCs w:val="36"/>
          <w:highlight w:val="none"/>
          <w:lang w:val="en-US" w:eastAsia="zh-CN"/>
        </w:rPr>
        <w:t>一是随着药品和医用耗材集中带量采购品种覆盖范围的扩大，配送和供应保障问题日益突出，尤其是运输成本较大的偏远地区，临床的采购需求增大与供应配送成本较高的矛盾日益凸显。</w:t>
      </w:r>
    </w:p>
    <w:p>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0" w:right="0" w:rightChars="0" w:firstLine="640" w:firstLineChars="200"/>
        <w:textAlignment w:val="auto"/>
        <w:rPr>
          <w:rFonts w:hint="eastAsia" w:ascii="方正仿宋_GB2312" w:hAnsi="方正仿宋_GB2312" w:eastAsia="方正仿宋_GB2312" w:cs="方正仿宋_GB2312"/>
          <w:sz w:val="32"/>
          <w:szCs w:val="36"/>
          <w:highlight w:val="none"/>
          <w:lang w:val="en-US" w:eastAsia="zh-CN"/>
        </w:rPr>
      </w:pPr>
      <w:r>
        <w:rPr>
          <w:rFonts w:hint="eastAsia" w:ascii="方正仿宋_GB2312" w:hAnsi="方正仿宋_GB2312" w:eastAsia="方正仿宋_GB2312" w:cs="方正仿宋_GB2312"/>
          <w:sz w:val="32"/>
          <w:szCs w:val="36"/>
          <w:highlight w:val="none"/>
          <w:lang w:val="en-US" w:eastAsia="zh-CN"/>
        </w:rPr>
        <w:t>二是生育保险制度存在城乡结构、区域结构、群体结构之间发展的不平衡。从参保情况来看，我区生育保险参保人数主要覆盖事业单位、国有企业以及大型民营企业的从业人员，城乡居民、非正规就业人口、流动人口未包括在内。建议国家进一步完善相关政策。</w:t>
      </w:r>
    </w:p>
    <w:p>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0" w:right="0" w:rightChars="0" w:firstLine="640" w:firstLineChars="200"/>
        <w:textAlignment w:val="auto"/>
        <w:rPr>
          <w:rFonts w:hint="eastAsia" w:ascii="方正仿宋_GB2312" w:hAnsi="方正仿宋_GB2312" w:eastAsia="方正仿宋_GB2312" w:cs="方正仿宋_GB2312"/>
          <w:sz w:val="32"/>
          <w:szCs w:val="36"/>
          <w:highlight w:val="none"/>
          <w:lang w:val="en-US" w:eastAsia="zh-CN"/>
        </w:rPr>
      </w:pPr>
      <w:r>
        <w:rPr>
          <w:rFonts w:hint="eastAsia" w:ascii="方正仿宋_GB2312" w:hAnsi="方正仿宋_GB2312" w:eastAsia="方正仿宋_GB2312" w:cs="方正仿宋_GB2312"/>
          <w:sz w:val="32"/>
          <w:szCs w:val="36"/>
          <w:highlight w:val="none"/>
          <w:lang w:val="en-US" w:eastAsia="zh-CN"/>
        </w:rPr>
        <w:t>三是我区医保基金支撑能力近两年有所提升，但分险种和统筹地区来看，存在统筹地区之间、险种之间基金结余不平衡的问题，基金收支平衡矛盾和结构性矛盾开始显现。</w:t>
      </w:r>
    </w:p>
    <w:p>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0" w:right="0" w:rightChars="0" w:firstLine="640" w:firstLineChars="200"/>
        <w:textAlignment w:val="auto"/>
        <w:rPr>
          <w:rFonts w:hint="eastAsia" w:ascii="楷体" w:hAnsi="楷体" w:eastAsia="楷体" w:cs="楷体"/>
          <w:sz w:val="32"/>
          <w:szCs w:val="36"/>
          <w:highlight w:val="none"/>
          <w:lang w:val="en-US" w:eastAsia="zh-CN"/>
        </w:rPr>
      </w:pPr>
      <w:r>
        <w:rPr>
          <w:rFonts w:hint="eastAsia" w:ascii="楷体" w:hAnsi="楷体" w:eastAsia="楷体" w:cs="楷体"/>
          <w:sz w:val="32"/>
          <w:szCs w:val="36"/>
          <w:highlight w:val="none"/>
          <w:lang w:val="en-US" w:eastAsia="zh-CN"/>
        </w:rPr>
        <w:t>（三）下一步工作实施改进措施</w:t>
      </w:r>
    </w:p>
    <w:p>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0" w:right="0" w:rightChars="0" w:firstLine="640" w:firstLineChars="200"/>
        <w:textAlignment w:val="auto"/>
        <w:rPr>
          <w:rFonts w:hint="eastAsia" w:ascii="方正仿宋_GB2312" w:hAnsi="方正仿宋_GB2312" w:eastAsia="方正仿宋_GB2312" w:cs="方正仿宋_GB2312"/>
          <w:sz w:val="32"/>
          <w:szCs w:val="36"/>
          <w:highlight w:val="none"/>
          <w:lang w:val="en-US" w:eastAsia="zh-CN"/>
        </w:rPr>
      </w:pPr>
      <w:r>
        <w:rPr>
          <w:rFonts w:hint="eastAsia" w:ascii="方正仿宋_GB2312" w:hAnsi="方正仿宋_GB2312" w:eastAsia="方正仿宋_GB2312" w:cs="方正仿宋_GB2312"/>
          <w:sz w:val="32"/>
          <w:szCs w:val="36"/>
          <w:highlight w:val="none"/>
          <w:lang w:val="en-US" w:eastAsia="zh-CN"/>
        </w:rPr>
        <w:t>一是巩固拓展医疗保障脱贫攻坚有效衔接乡村振兴。完善低收入人口基本医疗保障待遇政策，脱贫人口待遇保障政策，合理确定农村居民医疗保障待遇水平，确保政策平稳过渡衔接，严守不发生规模性因病致贫返贫底线。</w:t>
      </w:r>
    </w:p>
    <w:p>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0" w:right="0" w:rightChars="0" w:firstLine="640" w:firstLineChars="200"/>
        <w:textAlignment w:val="auto"/>
        <w:rPr>
          <w:rFonts w:hint="eastAsia" w:ascii="方正仿宋_GB2312" w:hAnsi="方正仿宋_GB2312" w:eastAsia="方正仿宋_GB2312" w:cs="方正仿宋_GB2312"/>
          <w:sz w:val="32"/>
          <w:szCs w:val="36"/>
          <w:highlight w:val="none"/>
          <w:lang w:val="en-US" w:eastAsia="zh-CN"/>
        </w:rPr>
      </w:pPr>
      <w:r>
        <w:rPr>
          <w:rFonts w:hint="eastAsia" w:ascii="方正仿宋_GB2312" w:hAnsi="方正仿宋_GB2312" w:eastAsia="方正仿宋_GB2312" w:cs="方正仿宋_GB2312"/>
          <w:sz w:val="32"/>
          <w:szCs w:val="36"/>
          <w:highlight w:val="none"/>
          <w:lang w:val="en-US" w:eastAsia="zh-CN"/>
        </w:rPr>
        <w:t>二是规范医保三个目录管理。持续推进医保目录规范管理，严格执行国家药品目录，根据国家谈判药落地要求，及时动态调整“双通道”管理药品和实行单独支付药品的名单。加强定点零售药店遴选、分布和管理工作。探索建立诊疗项目目录、制定医用耗材管理办法，引导规范医疗服务行为，促进医用耗材合理使用。</w:t>
      </w:r>
    </w:p>
    <w:p>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0" w:right="0" w:rightChars="0" w:firstLine="640" w:firstLineChars="200"/>
        <w:textAlignment w:val="auto"/>
        <w:rPr>
          <w:rFonts w:hint="eastAsia" w:ascii="方正仿宋_GB2312" w:hAnsi="方正仿宋_GB2312" w:eastAsia="方正仿宋_GB2312" w:cs="方正仿宋_GB2312"/>
          <w:sz w:val="32"/>
          <w:szCs w:val="36"/>
          <w:highlight w:val="none"/>
          <w:lang w:val="en-US" w:eastAsia="zh-CN"/>
        </w:rPr>
      </w:pPr>
      <w:r>
        <w:rPr>
          <w:rFonts w:hint="eastAsia" w:ascii="方正仿宋_GB2312" w:hAnsi="方正仿宋_GB2312" w:eastAsia="方正仿宋_GB2312" w:cs="方正仿宋_GB2312"/>
          <w:sz w:val="32"/>
          <w:szCs w:val="36"/>
          <w:highlight w:val="none"/>
          <w:lang w:val="en-US" w:eastAsia="zh-CN"/>
        </w:rPr>
        <w:t>三是持续推进DRG/DIP医保支付方式改革。按照自治区DRG/DIP支付方式改革三年行动计划，及国家医保局第二批DRG/DIP交叉调研评估结果，坚持问题导向，不断推进我区改革工作。巩固已启动DRG/DIP付费地区的医保支付方式改革成果，推进喀什地区、克州、博州开展DRG付费改革，实现四个全覆盖。解决好地域之间发展不平衡问题，针对南疆部分医疗机构开展DRG付费的基础薄弱，特别是二级以下医疗机构信息基础薄弱、人才储备不足、系统维护难度加大等问题，通过完善信息系统，加强院端结算清单质控，加大示范城市引领、帮扶和培训力度。</w:t>
      </w:r>
    </w:p>
    <w:p>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0" w:right="0" w:rightChars="0" w:firstLine="640" w:firstLineChars="200"/>
        <w:textAlignment w:val="auto"/>
        <w:rPr>
          <w:rFonts w:hint="eastAsia" w:ascii="方正仿宋_GB2312" w:hAnsi="方正仿宋_GB2312" w:eastAsia="方正仿宋_GB2312" w:cs="方正仿宋_GB2312"/>
          <w:sz w:val="32"/>
          <w:szCs w:val="36"/>
          <w:highlight w:val="none"/>
          <w:lang w:val="en-US" w:eastAsia="zh-CN"/>
        </w:rPr>
      </w:pPr>
      <w:r>
        <w:rPr>
          <w:rFonts w:hint="eastAsia" w:ascii="方正仿宋_GB2312" w:hAnsi="方正仿宋_GB2312" w:eastAsia="方正仿宋_GB2312" w:cs="方正仿宋_GB2312"/>
          <w:sz w:val="32"/>
          <w:szCs w:val="36"/>
          <w:highlight w:val="none"/>
          <w:lang w:val="en-US" w:eastAsia="zh-CN"/>
        </w:rPr>
        <w:t>四是进一步完善日常检查、交叉检查、飞行检查等相结合的多形式检查制度。持续强化智能监控制度，加快构建全区医保智能监控信息系统，应用大数据手段，将监管对象由医疗机构延伸至医务人员，将监管重点从医疗费用控制转向医疗费用和医疗服务绩效双控制。加快构建信用监管机制，分类建立定点医药机构、参保人员医保信用记录、信用评价管理制度。</w:t>
      </w:r>
    </w:p>
    <w:p>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0" w:right="0" w:rightChars="0" w:firstLine="640" w:firstLineChars="200"/>
        <w:textAlignment w:val="auto"/>
        <w:rPr>
          <w:rFonts w:hint="eastAsia" w:ascii="方正仿宋_GB2312" w:hAnsi="方正仿宋_GB2312" w:eastAsia="方正仿宋_GB2312" w:cs="方正仿宋_GB2312"/>
          <w:sz w:val="32"/>
          <w:szCs w:val="36"/>
          <w:highlight w:val="none"/>
          <w:lang w:val="en-US" w:eastAsia="zh-CN"/>
        </w:rPr>
      </w:pPr>
      <w:r>
        <w:rPr>
          <w:rFonts w:hint="eastAsia" w:ascii="方正仿宋_GB2312" w:hAnsi="方正仿宋_GB2312" w:eastAsia="方正仿宋_GB2312" w:cs="方正仿宋_GB2312"/>
          <w:sz w:val="32"/>
          <w:szCs w:val="36"/>
          <w:highlight w:val="none"/>
          <w:lang w:val="en-US" w:eastAsia="zh-CN"/>
        </w:rPr>
        <w:t>五是全面深化平台应用。持续优化平台性能，推进全量接口改造，加大创新应场景推广力度，进一步拓展新平台在就医购药领域的全流程应用，深化便民服务。</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18169C9-2025-4633-94B7-51652F1FD4D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8DA6E9F3-DD7C-48FC-814C-AE96C1AAB069}"/>
  </w:font>
  <w:font w:name="方正小标宋_GBK">
    <w:panose1 w:val="03000509000000000000"/>
    <w:charset w:val="86"/>
    <w:family w:val="auto"/>
    <w:pitch w:val="default"/>
    <w:sig w:usb0="00000001" w:usb1="080E0000" w:usb2="00000000" w:usb3="00000000" w:csb0="00040000" w:csb1="00000000"/>
    <w:embedRegular r:id="rId3" w:fontKey="{0813ED89-CF25-49FB-B44A-D87B84882F5B}"/>
  </w:font>
  <w:font w:name="仿宋_GB2312">
    <w:panose1 w:val="02010609030101010101"/>
    <w:charset w:val="86"/>
    <w:family w:val="auto"/>
    <w:pitch w:val="default"/>
    <w:sig w:usb0="00000001" w:usb1="080E0000" w:usb2="00000000" w:usb3="00000000" w:csb0="00040000" w:csb1="00000000"/>
    <w:embedRegular r:id="rId4" w:fontKey="{A99130C9-604F-4270-9DFF-06AF534BB7D0}"/>
  </w:font>
  <w:font w:name="方正仿宋_GB2312">
    <w:panose1 w:val="02000000000000000000"/>
    <w:charset w:val="86"/>
    <w:family w:val="auto"/>
    <w:pitch w:val="default"/>
    <w:sig w:usb0="A00002BF" w:usb1="184F6CFA" w:usb2="00000012" w:usb3="00000000" w:csb0="00040001" w:csb1="00000000"/>
    <w:embedRegular r:id="rId5" w:fontKey="{EDFB6088-5277-417C-85C8-A3C373AF5C29}"/>
  </w:font>
  <w:font w:name="楷体">
    <w:panose1 w:val="02010609060101010101"/>
    <w:charset w:val="86"/>
    <w:family w:val="auto"/>
    <w:pitch w:val="default"/>
    <w:sig w:usb0="800002BF" w:usb1="38CF7CFA" w:usb2="00000016" w:usb3="00000000" w:csb0="00040001" w:csb1="00000000"/>
    <w:embedRegular r:id="rId6" w:fontKey="{EA03F94E-1EE8-4807-803D-D9669750C640}"/>
  </w:font>
  <w:font w:name="等线 Light">
    <w:panose1 w:val="02010600030101010101"/>
    <w:charset w:val="86"/>
    <w:family w:val="auto"/>
    <w:pitch w:val="default"/>
    <w:sig w:usb0="A00002BF" w:usb1="38CF7CFA" w:usb2="00000016" w:usb3="00000000" w:csb0="0004000F" w:csb1="00000000"/>
    <w:embedRegular r:id="rId7" w:fontKey="{137FB765-155A-4E7D-8DD5-8E9FEFF42EF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WW+3o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WW+3ozAgAAYwQAAA4AAAAAAAAAAQAgAAAAHwEAAGRycy9lMm9Eb2MueG1sUEsF&#10;BgAAAAAGAAYAWQEAAMQFAAAAAA==&#10;">
              <v:fill on="f" focussize="0,0"/>
              <v:stroke on="f" weight="0.5pt"/>
              <v:imagedata o:title=""/>
              <o:lock v:ext="edit" aspectratio="f"/>
              <v:textbox inset="0mm,0mm,0mm,0mm" style="mso-fit-shape-to-text:t;">
                <w:txbxContent>
                  <w:p>
                    <w:pPr>
                      <w:pStyle w:val="8"/>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BDB1F3"/>
    <w:multiLevelType w:val="singleLevel"/>
    <w:tmpl w:val="83BDB1F3"/>
    <w:lvl w:ilvl="0" w:tentative="0">
      <w:start w:val="3"/>
      <w:numFmt w:val="chineseCounting"/>
      <w:suff w:val="nothing"/>
      <w:lvlText w:val="（%1）"/>
      <w:lvlJc w:val="left"/>
      <w:rPr>
        <w:rFonts w:hint="eastAsia"/>
      </w:rPr>
    </w:lvl>
  </w:abstractNum>
  <w:abstractNum w:abstractNumId="1">
    <w:nsid w:val="0A41BA36"/>
    <w:multiLevelType w:val="singleLevel"/>
    <w:tmpl w:val="0A41BA36"/>
    <w:lvl w:ilvl="0" w:tentative="0">
      <w:start w:val="5"/>
      <w:numFmt w:val="chineseCounting"/>
      <w:suff w:val="nothing"/>
      <w:lvlText w:val="%1、"/>
      <w:lvlJc w:val="left"/>
      <w:rPr>
        <w:rFonts w:hint="eastAsia"/>
      </w:rPr>
    </w:lvl>
  </w:abstractNum>
  <w:abstractNum w:abstractNumId="2">
    <w:nsid w:val="434A619A"/>
    <w:multiLevelType w:val="singleLevel"/>
    <w:tmpl w:val="434A619A"/>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c1M2M2ZjEyMDk3ODk0YzUxNTFiY2IxMjUxYjMxZTIifQ=="/>
  </w:docVars>
  <w:rsids>
    <w:rsidRoot w:val="00D55800"/>
    <w:rsid w:val="0006044E"/>
    <w:rsid w:val="000B4B83"/>
    <w:rsid w:val="00130A56"/>
    <w:rsid w:val="00176C83"/>
    <w:rsid w:val="001D41BF"/>
    <w:rsid w:val="002079A9"/>
    <w:rsid w:val="00220784"/>
    <w:rsid w:val="00232961"/>
    <w:rsid w:val="00252CB6"/>
    <w:rsid w:val="0029613E"/>
    <w:rsid w:val="002961D2"/>
    <w:rsid w:val="002C2665"/>
    <w:rsid w:val="0033585C"/>
    <w:rsid w:val="003415B5"/>
    <w:rsid w:val="0038287F"/>
    <w:rsid w:val="003A6A73"/>
    <w:rsid w:val="003D4B38"/>
    <w:rsid w:val="003E39F3"/>
    <w:rsid w:val="003E7539"/>
    <w:rsid w:val="003F4F2B"/>
    <w:rsid w:val="0048510F"/>
    <w:rsid w:val="00500937"/>
    <w:rsid w:val="005C6BD8"/>
    <w:rsid w:val="005D69FE"/>
    <w:rsid w:val="005F596F"/>
    <w:rsid w:val="00627522"/>
    <w:rsid w:val="006662BC"/>
    <w:rsid w:val="006700BF"/>
    <w:rsid w:val="00677C98"/>
    <w:rsid w:val="00692BCD"/>
    <w:rsid w:val="006B00C6"/>
    <w:rsid w:val="006B36B2"/>
    <w:rsid w:val="007A5FC6"/>
    <w:rsid w:val="007E7BA6"/>
    <w:rsid w:val="008006DA"/>
    <w:rsid w:val="008024AA"/>
    <w:rsid w:val="00841245"/>
    <w:rsid w:val="00893176"/>
    <w:rsid w:val="008A7F13"/>
    <w:rsid w:val="008C4931"/>
    <w:rsid w:val="008E1A89"/>
    <w:rsid w:val="00906204"/>
    <w:rsid w:val="00913824"/>
    <w:rsid w:val="00941B8C"/>
    <w:rsid w:val="00945B00"/>
    <w:rsid w:val="00967DA8"/>
    <w:rsid w:val="009A6CA8"/>
    <w:rsid w:val="009C5871"/>
    <w:rsid w:val="00A30274"/>
    <w:rsid w:val="00A465DB"/>
    <w:rsid w:val="00A56245"/>
    <w:rsid w:val="00A9710E"/>
    <w:rsid w:val="00AA58EE"/>
    <w:rsid w:val="00AB41F7"/>
    <w:rsid w:val="00AB52C7"/>
    <w:rsid w:val="00AC2C7B"/>
    <w:rsid w:val="00AD7D67"/>
    <w:rsid w:val="00B1743E"/>
    <w:rsid w:val="00B21D1B"/>
    <w:rsid w:val="00B70124"/>
    <w:rsid w:val="00B800D5"/>
    <w:rsid w:val="00BB18C1"/>
    <w:rsid w:val="00BD6C6E"/>
    <w:rsid w:val="00C20279"/>
    <w:rsid w:val="00C376E5"/>
    <w:rsid w:val="00C65468"/>
    <w:rsid w:val="00D04BC9"/>
    <w:rsid w:val="00D260DA"/>
    <w:rsid w:val="00D36C83"/>
    <w:rsid w:val="00D55800"/>
    <w:rsid w:val="00DA76E5"/>
    <w:rsid w:val="00DD3841"/>
    <w:rsid w:val="00DF2AF6"/>
    <w:rsid w:val="00E27879"/>
    <w:rsid w:val="00E345C8"/>
    <w:rsid w:val="00E60D6B"/>
    <w:rsid w:val="00E7664D"/>
    <w:rsid w:val="00EC735B"/>
    <w:rsid w:val="00EE2ED5"/>
    <w:rsid w:val="00EE5D96"/>
    <w:rsid w:val="00F5639E"/>
    <w:rsid w:val="00FE105F"/>
    <w:rsid w:val="00FE3021"/>
    <w:rsid w:val="012F3BE7"/>
    <w:rsid w:val="01716545"/>
    <w:rsid w:val="019B7C67"/>
    <w:rsid w:val="02031486"/>
    <w:rsid w:val="022E4DB2"/>
    <w:rsid w:val="02473816"/>
    <w:rsid w:val="025D18B7"/>
    <w:rsid w:val="026C20C7"/>
    <w:rsid w:val="02716A7E"/>
    <w:rsid w:val="02B51AA3"/>
    <w:rsid w:val="0331607D"/>
    <w:rsid w:val="03D1620A"/>
    <w:rsid w:val="043C7325"/>
    <w:rsid w:val="04784101"/>
    <w:rsid w:val="048E6998"/>
    <w:rsid w:val="04F069E9"/>
    <w:rsid w:val="04F4684B"/>
    <w:rsid w:val="04FB5DFE"/>
    <w:rsid w:val="05322502"/>
    <w:rsid w:val="05576D79"/>
    <w:rsid w:val="05B94BCE"/>
    <w:rsid w:val="05E50DEF"/>
    <w:rsid w:val="06C840BA"/>
    <w:rsid w:val="0713055A"/>
    <w:rsid w:val="0748732D"/>
    <w:rsid w:val="07651299"/>
    <w:rsid w:val="078B75F2"/>
    <w:rsid w:val="07E576CD"/>
    <w:rsid w:val="081F50F4"/>
    <w:rsid w:val="086E38AD"/>
    <w:rsid w:val="08852F02"/>
    <w:rsid w:val="08F934D2"/>
    <w:rsid w:val="093D4405"/>
    <w:rsid w:val="09827EDB"/>
    <w:rsid w:val="098E336D"/>
    <w:rsid w:val="09E1423D"/>
    <w:rsid w:val="09E8558A"/>
    <w:rsid w:val="0A1228C5"/>
    <w:rsid w:val="0A8E7038"/>
    <w:rsid w:val="0AAC240E"/>
    <w:rsid w:val="0AC07AD1"/>
    <w:rsid w:val="0ADC5A4C"/>
    <w:rsid w:val="0B35660D"/>
    <w:rsid w:val="0B9660B9"/>
    <w:rsid w:val="0B9707EA"/>
    <w:rsid w:val="0B990D00"/>
    <w:rsid w:val="0BB16B80"/>
    <w:rsid w:val="0BCF6B66"/>
    <w:rsid w:val="0C3B7166"/>
    <w:rsid w:val="0C3F2EE7"/>
    <w:rsid w:val="0C881695"/>
    <w:rsid w:val="0CB712B2"/>
    <w:rsid w:val="0CD21C7B"/>
    <w:rsid w:val="0D6C64A8"/>
    <w:rsid w:val="0D6D6013"/>
    <w:rsid w:val="0DA61C4B"/>
    <w:rsid w:val="0DAD0977"/>
    <w:rsid w:val="0DE8785C"/>
    <w:rsid w:val="0DED7A5D"/>
    <w:rsid w:val="0E597ED8"/>
    <w:rsid w:val="0E5D3322"/>
    <w:rsid w:val="0E70532F"/>
    <w:rsid w:val="0EBC69AF"/>
    <w:rsid w:val="0ECE2A4B"/>
    <w:rsid w:val="0EF958AB"/>
    <w:rsid w:val="0F0C28B9"/>
    <w:rsid w:val="0F255F6D"/>
    <w:rsid w:val="0F2B38BC"/>
    <w:rsid w:val="0F332FD8"/>
    <w:rsid w:val="0F493BEC"/>
    <w:rsid w:val="0F4A037B"/>
    <w:rsid w:val="0F7D165B"/>
    <w:rsid w:val="0F9E04B1"/>
    <w:rsid w:val="0FA61B22"/>
    <w:rsid w:val="0FCB2853"/>
    <w:rsid w:val="0FE119CC"/>
    <w:rsid w:val="100C09DA"/>
    <w:rsid w:val="100C4E0A"/>
    <w:rsid w:val="102172BF"/>
    <w:rsid w:val="102B3CC0"/>
    <w:rsid w:val="10502DE1"/>
    <w:rsid w:val="107163FC"/>
    <w:rsid w:val="1086284E"/>
    <w:rsid w:val="111D6FEC"/>
    <w:rsid w:val="11551DC9"/>
    <w:rsid w:val="1157030F"/>
    <w:rsid w:val="11996697"/>
    <w:rsid w:val="11CA0A95"/>
    <w:rsid w:val="12566CC4"/>
    <w:rsid w:val="128158E8"/>
    <w:rsid w:val="12882922"/>
    <w:rsid w:val="12C61B21"/>
    <w:rsid w:val="135D6CC4"/>
    <w:rsid w:val="13600A3D"/>
    <w:rsid w:val="136455E5"/>
    <w:rsid w:val="137E752A"/>
    <w:rsid w:val="13BB3C62"/>
    <w:rsid w:val="13DE7AD1"/>
    <w:rsid w:val="13F5417E"/>
    <w:rsid w:val="14407D83"/>
    <w:rsid w:val="14786464"/>
    <w:rsid w:val="14D6582B"/>
    <w:rsid w:val="14DC1AE8"/>
    <w:rsid w:val="14E458BE"/>
    <w:rsid w:val="15293976"/>
    <w:rsid w:val="158C72CF"/>
    <w:rsid w:val="15DE0D07"/>
    <w:rsid w:val="15EF3AF7"/>
    <w:rsid w:val="15F47665"/>
    <w:rsid w:val="16172FFB"/>
    <w:rsid w:val="16636C02"/>
    <w:rsid w:val="16A247C2"/>
    <w:rsid w:val="16BA2561"/>
    <w:rsid w:val="16DA007F"/>
    <w:rsid w:val="16DD7A93"/>
    <w:rsid w:val="17112266"/>
    <w:rsid w:val="173E4D36"/>
    <w:rsid w:val="17566DD7"/>
    <w:rsid w:val="175736BC"/>
    <w:rsid w:val="17720520"/>
    <w:rsid w:val="17721AEC"/>
    <w:rsid w:val="17B54C4F"/>
    <w:rsid w:val="17BB77F0"/>
    <w:rsid w:val="1813407D"/>
    <w:rsid w:val="18300691"/>
    <w:rsid w:val="184D2BAE"/>
    <w:rsid w:val="185465F0"/>
    <w:rsid w:val="190C0B10"/>
    <w:rsid w:val="19376266"/>
    <w:rsid w:val="194752D9"/>
    <w:rsid w:val="196415BE"/>
    <w:rsid w:val="197126FB"/>
    <w:rsid w:val="197A7AFF"/>
    <w:rsid w:val="197F1C0E"/>
    <w:rsid w:val="198B1CC1"/>
    <w:rsid w:val="19B2593E"/>
    <w:rsid w:val="19B54BF8"/>
    <w:rsid w:val="19C65E5F"/>
    <w:rsid w:val="19D94AA2"/>
    <w:rsid w:val="19EB66D2"/>
    <w:rsid w:val="19F920F4"/>
    <w:rsid w:val="1A002777"/>
    <w:rsid w:val="1A211432"/>
    <w:rsid w:val="1A9F4685"/>
    <w:rsid w:val="1ABF1CEA"/>
    <w:rsid w:val="1AF17D78"/>
    <w:rsid w:val="1B25448B"/>
    <w:rsid w:val="1B325848"/>
    <w:rsid w:val="1B3705AA"/>
    <w:rsid w:val="1B8E0F9C"/>
    <w:rsid w:val="1BB67591"/>
    <w:rsid w:val="1BCE7474"/>
    <w:rsid w:val="1C1D2D68"/>
    <w:rsid w:val="1C3C7040"/>
    <w:rsid w:val="1C9920C8"/>
    <w:rsid w:val="1CB33F08"/>
    <w:rsid w:val="1CC83127"/>
    <w:rsid w:val="1CF55E97"/>
    <w:rsid w:val="1D3E4664"/>
    <w:rsid w:val="1D5418C4"/>
    <w:rsid w:val="1D6607F3"/>
    <w:rsid w:val="1D9373E4"/>
    <w:rsid w:val="1DA61BBE"/>
    <w:rsid w:val="1DC80C5F"/>
    <w:rsid w:val="1DD705CD"/>
    <w:rsid w:val="1E082224"/>
    <w:rsid w:val="1E4369C2"/>
    <w:rsid w:val="1E9305B4"/>
    <w:rsid w:val="1F6D2BBE"/>
    <w:rsid w:val="1FBF3419"/>
    <w:rsid w:val="1FC96A2E"/>
    <w:rsid w:val="20266D8A"/>
    <w:rsid w:val="20EF4D9E"/>
    <w:rsid w:val="21132153"/>
    <w:rsid w:val="211437CE"/>
    <w:rsid w:val="217F7D78"/>
    <w:rsid w:val="21BA3D29"/>
    <w:rsid w:val="21D6056C"/>
    <w:rsid w:val="21FF0B37"/>
    <w:rsid w:val="2210544C"/>
    <w:rsid w:val="2228720A"/>
    <w:rsid w:val="22407BB4"/>
    <w:rsid w:val="22D402FC"/>
    <w:rsid w:val="234F4C67"/>
    <w:rsid w:val="236D7CC0"/>
    <w:rsid w:val="23897C4D"/>
    <w:rsid w:val="239116F9"/>
    <w:rsid w:val="2403178F"/>
    <w:rsid w:val="24535B2D"/>
    <w:rsid w:val="24E75B76"/>
    <w:rsid w:val="24F60CEE"/>
    <w:rsid w:val="25020159"/>
    <w:rsid w:val="259768BE"/>
    <w:rsid w:val="2598650D"/>
    <w:rsid w:val="25BC4207"/>
    <w:rsid w:val="25DF6CAB"/>
    <w:rsid w:val="262C606D"/>
    <w:rsid w:val="265D5639"/>
    <w:rsid w:val="26672631"/>
    <w:rsid w:val="26871844"/>
    <w:rsid w:val="26DB37F2"/>
    <w:rsid w:val="26F078D1"/>
    <w:rsid w:val="26F33AE5"/>
    <w:rsid w:val="27065F43"/>
    <w:rsid w:val="27161F0C"/>
    <w:rsid w:val="27467070"/>
    <w:rsid w:val="274C00F3"/>
    <w:rsid w:val="274E0924"/>
    <w:rsid w:val="278F1023"/>
    <w:rsid w:val="27A675FA"/>
    <w:rsid w:val="27DF57A6"/>
    <w:rsid w:val="283E55A9"/>
    <w:rsid w:val="28A14CE9"/>
    <w:rsid w:val="28C13FD9"/>
    <w:rsid w:val="291B6A5F"/>
    <w:rsid w:val="29436065"/>
    <w:rsid w:val="2979459F"/>
    <w:rsid w:val="29AB3369"/>
    <w:rsid w:val="2A1D6D56"/>
    <w:rsid w:val="2A20014F"/>
    <w:rsid w:val="2A3D355E"/>
    <w:rsid w:val="2A684F32"/>
    <w:rsid w:val="2A7F0E2D"/>
    <w:rsid w:val="2AEE6E0D"/>
    <w:rsid w:val="2B67753B"/>
    <w:rsid w:val="2B8A543C"/>
    <w:rsid w:val="2BE76B0B"/>
    <w:rsid w:val="2BEF29AB"/>
    <w:rsid w:val="2BFC3A0E"/>
    <w:rsid w:val="2CD47BC0"/>
    <w:rsid w:val="2D151469"/>
    <w:rsid w:val="2D4C786A"/>
    <w:rsid w:val="2DA5708B"/>
    <w:rsid w:val="2DB634BD"/>
    <w:rsid w:val="2E0A04AA"/>
    <w:rsid w:val="2E342B08"/>
    <w:rsid w:val="2E434D33"/>
    <w:rsid w:val="2EA700BB"/>
    <w:rsid w:val="2EA76ACE"/>
    <w:rsid w:val="2EB93747"/>
    <w:rsid w:val="2ECE479A"/>
    <w:rsid w:val="2EED70C1"/>
    <w:rsid w:val="2F94264F"/>
    <w:rsid w:val="2FB25F05"/>
    <w:rsid w:val="2FB652FE"/>
    <w:rsid w:val="2FE47B3C"/>
    <w:rsid w:val="302765C7"/>
    <w:rsid w:val="305A2CB0"/>
    <w:rsid w:val="306233EC"/>
    <w:rsid w:val="30BF10D0"/>
    <w:rsid w:val="30C84E61"/>
    <w:rsid w:val="31372CF4"/>
    <w:rsid w:val="314065F2"/>
    <w:rsid w:val="319E6326"/>
    <w:rsid w:val="31B3592A"/>
    <w:rsid w:val="31B8637F"/>
    <w:rsid w:val="31B961B2"/>
    <w:rsid w:val="31CE56E7"/>
    <w:rsid w:val="3264197A"/>
    <w:rsid w:val="32F91334"/>
    <w:rsid w:val="330564C4"/>
    <w:rsid w:val="335F5579"/>
    <w:rsid w:val="33705686"/>
    <w:rsid w:val="337C6936"/>
    <w:rsid w:val="33AF31B1"/>
    <w:rsid w:val="33BF3EFE"/>
    <w:rsid w:val="33DA3D91"/>
    <w:rsid w:val="34596E0B"/>
    <w:rsid w:val="34655CC5"/>
    <w:rsid w:val="34C374C3"/>
    <w:rsid w:val="354D2067"/>
    <w:rsid w:val="35606E5B"/>
    <w:rsid w:val="359E24B7"/>
    <w:rsid w:val="363F770D"/>
    <w:rsid w:val="366148E4"/>
    <w:rsid w:val="36935D0C"/>
    <w:rsid w:val="36B129D7"/>
    <w:rsid w:val="36D80A21"/>
    <w:rsid w:val="36F01203"/>
    <w:rsid w:val="3707583F"/>
    <w:rsid w:val="37176CB8"/>
    <w:rsid w:val="371D1268"/>
    <w:rsid w:val="37D26A3C"/>
    <w:rsid w:val="37D64B34"/>
    <w:rsid w:val="37EA2644"/>
    <w:rsid w:val="380363FC"/>
    <w:rsid w:val="3846223E"/>
    <w:rsid w:val="3846585A"/>
    <w:rsid w:val="38616E0F"/>
    <w:rsid w:val="38910E1B"/>
    <w:rsid w:val="38B06980"/>
    <w:rsid w:val="390C7CB8"/>
    <w:rsid w:val="390D502F"/>
    <w:rsid w:val="394728E3"/>
    <w:rsid w:val="394936D4"/>
    <w:rsid w:val="39597096"/>
    <w:rsid w:val="397059AB"/>
    <w:rsid w:val="39820393"/>
    <w:rsid w:val="399932B9"/>
    <w:rsid w:val="3A305066"/>
    <w:rsid w:val="3A357178"/>
    <w:rsid w:val="3A5B7A92"/>
    <w:rsid w:val="3A5C7A1E"/>
    <w:rsid w:val="3A654204"/>
    <w:rsid w:val="3A8223BA"/>
    <w:rsid w:val="3AAF5FED"/>
    <w:rsid w:val="3AD1189A"/>
    <w:rsid w:val="3B2B0293"/>
    <w:rsid w:val="3B54463B"/>
    <w:rsid w:val="3B8548EB"/>
    <w:rsid w:val="3B88474A"/>
    <w:rsid w:val="3B8E55E5"/>
    <w:rsid w:val="3B963DCD"/>
    <w:rsid w:val="3BAB5610"/>
    <w:rsid w:val="3BC63927"/>
    <w:rsid w:val="3BF97CD5"/>
    <w:rsid w:val="3C351412"/>
    <w:rsid w:val="3C4E7638"/>
    <w:rsid w:val="3C79117D"/>
    <w:rsid w:val="3CB467F1"/>
    <w:rsid w:val="3CD1081B"/>
    <w:rsid w:val="3D110B00"/>
    <w:rsid w:val="3D6478CC"/>
    <w:rsid w:val="3D814536"/>
    <w:rsid w:val="3DD95729"/>
    <w:rsid w:val="3DEA61A3"/>
    <w:rsid w:val="3E314596"/>
    <w:rsid w:val="3E3B39F2"/>
    <w:rsid w:val="3E403A86"/>
    <w:rsid w:val="3E5C2E13"/>
    <w:rsid w:val="3E790FBE"/>
    <w:rsid w:val="3E85744A"/>
    <w:rsid w:val="3F040B0F"/>
    <w:rsid w:val="3F1453E2"/>
    <w:rsid w:val="3F2C554F"/>
    <w:rsid w:val="3F534A9B"/>
    <w:rsid w:val="3F6E03EA"/>
    <w:rsid w:val="3F875451"/>
    <w:rsid w:val="3FC53110"/>
    <w:rsid w:val="3FF43A9E"/>
    <w:rsid w:val="40015F02"/>
    <w:rsid w:val="401D4A9A"/>
    <w:rsid w:val="40266BC0"/>
    <w:rsid w:val="405A2019"/>
    <w:rsid w:val="40655A8F"/>
    <w:rsid w:val="406C4842"/>
    <w:rsid w:val="40911319"/>
    <w:rsid w:val="41AA1CF5"/>
    <w:rsid w:val="41FB0190"/>
    <w:rsid w:val="4220047A"/>
    <w:rsid w:val="42423C55"/>
    <w:rsid w:val="424779B1"/>
    <w:rsid w:val="425D5D52"/>
    <w:rsid w:val="426A11B3"/>
    <w:rsid w:val="43176A06"/>
    <w:rsid w:val="43311772"/>
    <w:rsid w:val="437A6AAC"/>
    <w:rsid w:val="43912142"/>
    <w:rsid w:val="43BB6137"/>
    <w:rsid w:val="43D23B8E"/>
    <w:rsid w:val="43DD221D"/>
    <w:rsid w:val="44DD3637"/>
    <w:rsid w:val="451930DF"/>
    <w:rsid w:val="45350A5E"/>
    <w:rsid w:val="45390361"/>
    <w:rsid w:val="45A07594"/>
    <w:rsid w:val="45C649C8"/>
    <w:rsid w:val="45DD4EEC"/>
    <w:rsid w:val="45F72C86"/>
    <w:rsid w:val="46193601"/>
    <w:rsid w:val="465C5E34"/>
    <w:rsid w:val="467811B4"/>
    <w:rsid w:val="468761EF"/>
    <w:rsid w:val="468E49CF"/>
    <w:rsid w:val="46CE3DAE"/>
    <w:rsid w:val="46D77C3B"/>
    <w:rsid w:val="47306DAA"/>
    <w:rsid w:val="47776128"/>
    <w:rsid w:val="478229B1"/>
    <w:rsid w:val="478C460D"/>
    <w:rsid w:val="47953C4F"/>
    <w:rsid w:val="47AF6A60"/>
    <w:rsid w:val="480109E1"/>
    <w:rsid w:val="4804594B"/>
    <w:rsid w:val="48213F0A"/>
    <w:rsid w:val="484C1881"/>
    <w:rsid w:val="487D67F8"/>
    <w:rsid w:val="490C246D"/>
    <w:rsid w:val="492D45E2"/>
    <w:rsid w:val="49501BE5"/>
    <w:rsid w:val="49601DCE"/>
    <w:rsid w:val="4A8F3EEC"/>
    <w:rsid w:val="4AD725E6"/>
    <w:rsid w:val="4AE9699E"/>
    <w:rsid w:val="4AFA02B0"/>
    <w:rsid w:val="4B084CDC"/>
    <w:rsid w:val="4B58667D"/>
    <w:rsid w:val="4B6D5936"/>
    <w:rsid w:val="4B7733F1"/>
    <w:rsid w:val="4B8B1A51"/>
    <w:rsid w:val="4BC13445"/>
    <w:rsid w:val="4BD9599D"/>
    <w:rsid w:val="4BF45AF4"/>
    <w:rsid w:val="4C3860BD"/>
    <w:rsid w:val="4C701AC9"/>
    <w:rsid w:val="4C725441"/>
    <w:rsid w:val="4CC94B9E"/>
    <w:rsid w:val="4D053AEB"/>
    <w:rsid w:val="4D3231D4"/>
    <w:rsid w:val="4D4774EB"/>
    <w:rsid w:val="4DC71971"/>
    <w:rsid w:val="4DCE3BD8"/>
    <w:rsid w:val="4DD11B63"/>
    <w:rsid w:val="4DF65588"/>
    <w:rsid w:val="4E202992"/>
    <w:rsid w:val="4E267D4F"/>
    <w:rsid w:val="4E326088"/>
    <w:rsid w:val="4EF24C43"/>
    <w:rsid w:val="4F0B3991"/>
    <w:rsid w:val="4F18074C"/>
    <w:rsid w:val="4FC70E2B"/>
    <w:rsid w:val="50207AA8"/>
    <w:rsid w:val="50287AB7"/>
    <w:rsid w:val="503C4BB7"/>
    <w:rsid w:val="5067779F"/>
    <w:rsid w:val="507A1914"/>
    <w:rsid w:val="5095337B"/>
    <w:rsid w:val="509C5C2D"/>
    <w:rsid w:val="51041DF2"/>
    <w:rsid w:val="510B5604"/>
    <w:rsid w:val="51307341"/>
    <w:rsid w:val="514A52A4"/>
    <w:rsid w:val="5153747B"/>
    <w:rsid w:val="51D25C78"/>
    <w:rsid w:val="52440E17"/>
    <w:rsid w:val="525A01F6"/>
    <w:rsid w:val="526D68B8"/>
    <w:rsid w:val="52704AEC"/>
    <w:rsid w:val="5274067B"/>
    <w:rsid w:val="52801D9B"/>
    <w:rsid w:val="52952D55"/>
    <w:rsid w:val="52AB09A4"/>
    <w:rsid w:val="52F53BB1"/>
    <w:rsid w:val="53012D86"/>
    <w:rsid w:val="53494A55"/>
    <w:rsid w:val="5365566B"/>
    <w:rsid w:val="53686091"/>
    <w:rsid w:val="538371A2"/>
    <w:rsid w:val="53EF1CC2"/>
    <w:rsid w:val="54557802"/>
    <w:rsid w:val="54675E1E"/>
    <w:rsid w:val="547C6A5E"/>
    <w:rsid w:val="548B076D"/>
    <w:rsid w:val="551A737B"/>
    <w:rsid w:val="55676852"/>
    <w:rsid w:val="55747CB3"/>
    <w:rsid w:val="559D4B5A"/>
    <w:rsid w:val="55C721AD"/>
    <w:rsid w:val="55C746F1"/>
    <w:rsid w:val="55E170C6"/>
    <w:rsid w:val="56122E04"/>
    <w:rsid w:val="56A40637"/>
    <w:rsid w:val="56B52D59"/>
    <w:rsid w:val="56F80A17"/>
    <w:rsid w:val="57156B65"/>
    <w:rsid w:val="57B62506"/>
    <w:rsid w:val="580C506F"/>
    <w:rsid w:val="585C11D7"/>
    <w:rsid w:val="58874F5B"/>
    <w:rsid w:val="5891283B"/>
    <w:rsid w:val="58DD0D97"/>
    <w:rsid w:val="58EE2B29"/>
    <w:rsid w:val="58FF30DA"/>
    <w:rsid w:val="58FF7C5C"/>
    <w:rsid w:val="592314F5"/>
    <w:rsid w:val="5930722A"/>
    <w:rsid w:val="5954426F"/>
    <w:rsid w:val="598E0D10"/>
    <w:rsid w:val="59A70E73"/>
    <w:rsid w:val="5A6842B2"/>
    <w:rsid w:val="5A96067B"/>
    <w:rsid w:val="5ACF1A02"/>
    <w:rsid w:val="5B066074"/>
    <w:rsid w:val="5B37355E"/>
    <w:rsid w:val="5BA76309"/>
    <w:rsid w:val="5BE62BCE"/>
    <w:rsid w:val="5C2721F6"/>
    <w:rsid w:val="5C314E04"/>
    <w:rsid w:val="5C484319"/>
    <w:rsid w:val="5CCD5621"/>
    <w:rsid w:val="5D161CAB"/>
    <w:rsid w:val="5DB1535D"/>
    <w:rsid w:val="5E15517A"/>
    <w:rsid w:val="5E2F1AB2"/>
    <w:rsid w:val="5E8B68A9"/>
    <w:rsid w:val="5ED9637F"/>
    <w:rsid w:val="5F0F4F2E"/>
    <w:rsid w:val="5F6318A0"/>
    <w:rsid w:val="5FBD2DA7"/>
    <w:rsid w:val="5FC660CF"/>
    <w:rsid w:val="604A7E4D"/>
    <w:rsid w:val="606326E4"/>
    <w:rsid w:val="607F5FA2"/>
    <w:rsid w:val="60816481"/>
    <w:rsid w:val="608C29F5"/>
    <w:rsid w:val="60A83BEF"/>
    <w:rsid w:val="60DB3B1B"/>
    <w:rsid w:val="61176028"/>
    <w:rsid w:val="61283336"/>
    <w:rsid w:val="61CB086F"/>
    <w:rsid w:val="61EC61D5"/>
    <w:rsid w:val="620F3632"/>
    <w:rsid w:val="622D5B65"/>
    <w:rsid w:val="62321480"/>
    <w:rsid w:val="623D02BE"/>
    <w:rsid w:val="62422D4F"/>
    <w:rsid w:val="624306EC"/>
    <w:rsid w:val="62593A7D"/>
    <w:rsid w:val="62C03308"/>
    <w:rsid w:val="62C27FB5"/>
    <w:rsid w:val="62E65FF7"/>
    <w:rsid w:val="62F04D77"/>
    <w:rsid w:val="63105834"/>
    <w:rsid w:val="631B356D"/>
    <w:rsid w:val="632717A7"/>
    <w:rsid w:val="63301864"/>
    <w:rsid w:val="63565712"/>
    <w:rsid w:val="636B1504"/>
    <w:rsid w:val="63A41FE7"/>
    <w:rsid w:val="63D66AC4"/>
    <w:rsid w:val="646650FC"/>
    <w:rsid w:val="64A357A5"/>
    <w:rsid w:val="64B13A1E"/>
    <w:rsid w:val="650133DF"/>
    <w:rsid w:val="65662096"/>
    <w:rsid w:val="65735178"/>
    <w:rsid w:val="657A2F32"/>
    <w:rsid w:val="664705FD"/>
    <w:rsid w:val="665F0763"/>
    <w:rsid w:val="666D2907"/>
    <w:rsid w:val="667941CF"/>
    <w:rsid w:val="667F13DE"/>
    <w:rsid w:val="66F80523"/>
    <w:rsid w:val="670F6A13"/>
    <w:rsid w:val="67713939"/>
    <w:rsid w:val="67733302"/>
    <w:rsid w:val="679B417C"/>
    <w:rsid w:val="67C92FB2"/>
    <w:rsid w:val="681D0C49"/>
    <w:rsid w:val="68251498"/>
    <w:rsid w:val="684D7A90"/>
    <w:rsid w:val="68651292"/>
    <w:rsid w:val="68762FB6"/>
    <w:rsid w:val="69007E10"/>
    <w:rsid w:val="69364421"/>
    <w:rsid w:val="694679C0"/>
    <w:rsid w:val="69552B32"/>
    <w:rsid w:val="696070F7"/>
    <w:rsid w:val="69632DF4"/>
    <w:rsid w:val="699A5665"/>
    <w:rsid w:val="69DA5B4D"/>
    <w:rsid w:val="69EC68AB"/>
    <w:rsid w:val="6A675E13"/>
    <w:rsid w:val="6A6E5B44"/>
    <w:rsid w:val="6A766460"/>
    <w:rsid w:val="6A8873AF"/>
    <w:rsid w:val="6B3B4728"/>
    <w:rsid w:val="6B506EA5"/>
    <w:rsid w:val="6B5541D8"/>
    <w:rsid w:val="6BAF40EF"/>
    <w:rsid w:val="6C4C4637"/>
    <w:rsid w:val="6C596725"/>
    <w:rsid w:val="6C9A5754"/>
    <w:rsid w:val="6CB75CF3"/>
    <w:rsid w:val="6CB77DFA"/>
    <w:rsid w:val="6CDA70B2"/>
    <w:rsid w:val="6D0476D0"/>
    <w:rsid w:val="6D1C5A1C"/>
    <w:rsid w:val="6D594D43"/>
    <w:rsid w:val="6D5A144E"/>
    <w:rsid w:val="6D5F48CC"/>
    <w:rsid w:val="6D9A656F"/>
    <w:rsid w:val="6DF220B0"/>
    <w:rsid w:val="6E070A35"/>
    <w:rsid w:val="6F577A4B"/>
    <w:rsid w:val="70AE4C20"/>
    <w:rsid w:val="70C37532"/>
    <w:rsid w:val="70C6649A"/>
    <w:rsid w:val="71A63542"/>
    <w:rsid w:val="71A66D7F"/>
    <w:rsid w:val="71B67DD9"/>
    <w:rsid w:val="71DE3F32"/>
    <w:rsid w:val="72044B77"/>
    <w:rsid w:val="724B7C4E"/>
    <w:rsid w:val="726503CE"/>
    <w:rsid w:val="72AC7D35"/>
    <w:rsid w:val="72F21B3C"/>
    <w:rsid w:val="733D3D9B"/>
    <w:rsid w:val="734D3454"/>
    <w:rsid w:val="737456B1"/>
    <w:rsid w:val="73AB02E7"/>
    <w:rsid w:val="73BB21EF"/>
    <w:rsid w:val="73C36D15"/>
    <w:rsid w:val="73DE2356"/>
    <w:rsid w:val="745A21C4"/>
    <w:rsid w:val="747A2ECB"/>
    <w:rsid w:val="74863FA7"/>
    <w:rsid w:val="7500581E"/>
    <w:rsid w:val="756D45FC"/>
    <w:rsid w:val="757B06DA"/>
    <w:rsid w:val="75A131ED"/>
    <w:rsid w:val="761E6ADD"/>
    <w:rsid w:val="765D7FA0"/>
    <w:rsid w:val="76637569"/>
    <w:rsid w:val="768A0343"/>
    <w:rsid w:val="7694036A"/>
    <w:rsid w:val="76C119FE"/>
    <w:rsid w:val="771A43C7"/>
    <w:rsid w:val="77B70369"/>
    <w:rsid w:val="78021921"/>
    <w:rsid w:val="783B3E45"/>
    <w:rsid w:val="787A25CC"/>
    <w:rsid w:val="789269CD"/>
    <w:rsid w:val="78A650A7"/>
    <w:rsid w:val="78D347CA"/>
    <w:rsid w:val="78D6184E"/>
    <w:rsid w:val="790E5DD7"/>
    <w:rsid w:val="791B155B"/>
    <w:rsid w:val="79367BCD"/>
    <w:rsid w:val="7973513E"/>
    <w:rsid w:val="79867000"/>
    <w:rsid w:val="79C31BF5"/>
    <w:rsid w:val="79EF176F"/>
    <w:rsid w:val="79F24BE1"/>
    <w:rsid w:val="7A0C0A99"/>
    <w:rsid w:val="7ABB0CFB"/>
    <w:rsid w:val="7ACC0905"/>
    <w:rsid w:val="7B540214"/>
    <w:rsid w:val="7B6969A9"/>
    <w:rsid w:val="7B6E4B58"/>
    <w:rsid w:val="7BDF19B6"/>
    <w:rsid w:val="7C11009B"/>
    <w:rsid w:val="7C2B5754"/>
    <w:rsid w:val="7C906B3F"/>
    <w:rsid w:val="7D6D2A34"/>
    <w:rsid w:val="7DCE3C29"/>
    <w:rsid w:val="7DEE5D7A"/>
    <w:rsid w:val="7E4C2E92"/>
    <w:rsid w:val="7E765AE7"/>
    <w:rsid w:val="7E7B4FF7"/>
    <w:rsid w:val="7E7D3EA5"/>
    <w:rsid w:val="7E9571E5"/>
    <w:rsid w:val="7EB0041E"/>
    <w:rsid w:val="7F372F7F"/>
    <w:rsid w:val="7F3949B6"/>
    <w:rsid w:val="7F717945"/>
    <w:rsid w:val="7FB83A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3"/>
    <w:basedOn w:val="1"/>
    <w:next w:val="1"/>
    <w:unhideWhenUsed/>
    <w:qFormat/>
    <w:uiPriority w:val="0"/>
    <w:pPr>
      <w:spacing w:beforeAutospacing="1" w:afterAutospacing="1" w:line="560" w:lineRule="exact"/>
      <w:jc w:val="left"/>
      <w:outlineLvl w:val="2"/>
    </w:pPr>
    <w:rPr>
      <w:rFonts w:hint="eastAsia" w:ascii="宋体" w:hAnsi="宋体"/>
      <w:b/>
      <w:kern w:val="0"/>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1"/>
    <w:qFormat/>
    <w:uiPriority w:val="0"/>
    <w:pPr>
      <w:ind w:firstLine="200" w:firstLineChars="200"/>
    </w:pPr>
    <w:rPr>
      <w:rFonts w:ascii="Calibri" w:hAnsi="Calibri"/>
      <w:sz w:val="28"/>
      <w:szCs w:val="20"/>
    </w:rPr>
  </w:style>
  <w:style w:type="paragraph" w:styleId="5">
    <w:name w:val="annotation text"/>
    <w:basedOn w:val="1"/>
    <w:link w:val="21"/>
    <w:unhideWhenUsed/>
    <w:qFormat/>
    <w:uiPriority w:val="0"/>
    <w:pPr>
      <w:jc w:val="left"/>
    </w:pPr>
  </w:style>
  <w:style w:type="paragraph" w:styleId="6">
    <w:name w:val="Body Text Indent"/>
    <w:basedOn w:val="1"/>
    <w:unhideWhenUsed/>
    <w:qFormat/>
    <w:uiPriority w:val="99"/>
    <w:pPr>
      <w:spacing w:after="120"/>
      <w:ind w:left="420" w:leftChars="200"/>
    </w:pPr>
  </w:style>
  <w:style w:type="paragraph" w:styleId="7">
    <w:name w:val="Balloon Text"/>
    <w:basedOn w:val="1"/>
    <w:link w:val="20"/>
    <w:semiHidden/>
    <w:unhideWhenUsed/>
    <w:qFormat/>
    <w:uiPriority w:val="99"/>
    <w:rPr>
      <w:sz w:val="18"/>
      <w:szCs w:val="18"/>
    </w:r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1">
    <w:name w:val="annotation subject"/>
    <w:basedOn w:val="5"/>
    <w:next w:val="5"/>
    <w:link w:val="22"/>
    <w:semiHidden/>
    <w:unhideWhenUsed/>
    <w:qFormat/>
    <w:uiPriority w:val="99"/>
    <w:rPr>
      <w:b/>
      <w:bCs/>
    </w:rPr>
  </w:style>
  <w:style w:type="paragraph" w:styleId="12">
    <w:name w:val="Body Text First Indent 2"/>
    <w:basedOn w:val="6"/>
    <w:unhideWhenUsed/>
    <w:qFormat/>
    <w:uiPriority w:val="99"/>
    <w:pPr>
      <w:ind w:firstLine="420" w:firstLineChars="200"/>
    </w:p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unhideWhenUsed/>
    <w:qFormat/>
    <w:uiPriority w:val="0"/>
    <w:rPr>
      <w:sz w:val="21"/>
      <w:szCs w:val="21"/>
    </w:rPr>
  </w:style>
  <w:style w:type="paragraph" w:customStyle="1" w:styleId="17">
    <w:name w:val="Char"/>
    <w:basedOn w:val="1"/>
    <w:qFormat/>
    <w:uiPriority w:val="99"/>
    <w:pPr>
      <w:widowControl/>
      <w:spacing w:after="160" w:line="240" w:lineRule="exact"/>
    </w:pPr>
  </w:style>
  <w:style w:type="character" w:customStyle="1" w:styleId="18">
    <w:name w:val="页眉 字符"/>
    <w:basedOn w:val="15"/>
    <w:link w:val="9"/>
    <w:qFormat/>
    <w:uiPriority w:val="99"/>
    <w:rPr>
      <w:sz w:val="18"/>
      <w:szCs w:val="18"/>
    </w:rPr>
  </w:style>
  <w:style w:type="character" w:customStyle="1" w:styleId="19">
    <w:name w:val="页脚 字符"/>
    <w:basedOn w:val="15"/>
    <w:link w:val="8"/>
    <w:qFormat/>
    <w:uiPriority w:val="99"/>
    <w:rPr>
      <w:sz w:val="18"/>
      <w:szCs w:val="18"/>
    </w:rPr>
  </w:style>
  <w:style w:type="character" w:customStyle="1" w:styleId="20">
    <w:name w:val="批注框文本 字符"/>
    <w:basedOn w:val="15"/>
    <w:link w:val="7"/>
    <w:semiHidden/>
    <w:qFormat/>
    <w:uiPriority w:val="99"/>
    <w:rPr>
      <w:sz w:val="18"/>
      <w:szCs w:val="18"/>
    </w:rPr>
  </w:style>
  <w:style w:type="character" w:customStyle="1" w:styleId="21">
    <w:name w:val="批注文字 字符"/>
    <w:basedOn w:val="15"/>
    <w:link w:val="5"/>
    <w:qFormat/>
    <w:uiPriority w:val="0"/>
    <w:rPr>
      <w:rFonts w:asciiTheme="minorHAnsi" w:hAnsiTheme="minorHAnsi" w:eastAsiaTheme="minorEastAsia" w:cstheme="minorBidi"/>
      <w:kern w:val="2"/>
      <w:sz w:val="21"/>
      <w:szCs w:val="22"/>
    </w:rPr>
  </w:style>
  <w:style w:type="character" w:customStyle="1" w:styleId="22">
    <w:name w:val="批注主题 字符"/>
    <w:basedOn w:val="21"/>
    <w:link w:val="11"/>
    <w:semiHidden/>
    <w:qFormat/>
    <w:uiPriority w:val="99"/>
    <w:rPr>
      <w:rFonts w:asciiTheme="minorHAnsi" w:hAnsiTheme="minorHAnsi" w:eastAsiaTheme="minorEastAsia" w:cstheme="minorBidi"/>
      <w:b/>
      <w:bCs/>
      <w:kern w:val="2"/>
      <w:sz w:val="21"/>
      <w:szCs w:val="22"/>
    </w:rPr>
  </w:style>
  <w:style w:type="paragraph" w:styleId="23">
    <w:name w:val="List Paragraph"/>
    <w:basedOn w:val="1"/>
    <w:qFormat/>
    <w:uiPriority w:val="99"/>
    <w:pPr>
      <w:ind w:firstLine="420" w:firstLineChars="200"/>
    </w:pPr>
  </w:style>
  <w:style w:type="character" w:customStyle="1" w:styleId="24">
    <w:name w:val="font12"/>
    <w:basedOn w:val="15"/>
    <w:qFormat/>
    <w:uiPriority w:val="0"/>
    <w:rPr>
      <w:rFonts w:hint="eastAsia" w:ascii="宋体" w:hAnsi="宋体" w:eastAsia="宋体" w:cs="宋体"/>
      <w:color w:val="000000"/>
      <w:sz w:val="20"/>
      <w:szCs w:val="20"/>
      <w:u w:val="none"/>
    </w:rPr>
  </w:style>
  <w:style w:type="character" w:customStyle="1" w:styleId="25">
    <w:name w:val="font01"/>
    <w:basedOn w:val="15"/>
    <w:qFormat/>
    <w:uiPriority w:val="0"/>
    <w:rPr>
      <w:rFonts w:hint="eastAsia" w:ascii="宋体" w:hAnsi="宋体" w:eastAsia="宋体" w:cs="宋体"/>
      <w:color w:val="000000"/>
      <w:sz w:val="18"/>
      <w:szCs w:val="18"/>
      <w:u w:val="none"/>
    </w:rPr>
  </w:style>
  <w:style w:type="character" w:customStyle="1" w:styleId="26">
    <w:name w:val="font31"/>
    <w:basedOn w:val="15"/>
    <w:qFormat/>
    <w:uiPriority w:val="0"/>
    <w:rPr>
      <w:rFonts w:hint="eastAsia" w:ascii="宋体" w:hAnsi="宋体" w:eastAsia="宋体" w:cs="宋体"/>
      <w:color w:val="000000"/>
      <w:sz w:val="20"/>
      <w:szCs w:val="20"/>
      <w:u w:val="none"/>
    </w:rPr>
  </w:style>
  <w:style w:type="character" w:customStyle="1" w:styleId="27">
    <w:name w:val="font71"/>
    <w:basedOn w:val="15"/>
    <w:qFormat/>
    <w:uiPriority w:val="0"/>
    <w:rPr>
      <w:rFonts w:hint="eastAsia" w:ascii="宋体" w:hAnsi="宋体" w:eastAsia="宋体" w:cs="宋体"/>
      <w:color w:val="000000"/>
      <w:sz w:val="20"/>
      <w:szCs w:val="20"/>
      <w:u w:val="none"/>
    </w:rPr>
  </w:style>
  <w:style w:type="character" w:customStyle="1" w:styleId="28">
    <w:name w:val="font11"/>
    <w:basedOn w:val="15"/>
    <w:qFormat/>
    <w:uiPriority w:val="0"/>
    <w:rPr>
      <w:rFonts w:hint="eastAsia" w:ascii="宋体" w:hAnsi="宋体" w:eastAsia="宋体" w:cs="宋体"/>
      <w:color w:val="000000"/>
      <w:sz w:val="18"/>
      <w:szCs w:val="18"/>
      <w:u w:val="none"/>
    </w:rPr>
  </w:style>
  <w:style w:type="paragraph" w:customStyle="1" w:styleId="29">
    <w:name w:val="正文文本1"/>
    <w:basedOn w:val="1"/>
    <w:qFormat/>
    <w:uiPriority w:val="0"/>
    <w:pPr>
      <w:spacing w:after="1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F851AF-E279-4562-84BD-A72B37B0DFC4}">
  <ds:schemaRefs/>
</ds:datastoreItem>
</file>

<file path=docProps/app.xml><?xml version="1.0" encoding="utf-8"?>
<Properties xmlns="http://schemas.openxmlformats.org/officeDocument/2006/extended-properties" xmlns:vt="http://schemas.openxmlformats.org/officeDocument/2006/docPropsVTypes">
  <Template>Normal</Template>
  <Pages>19</Pages>
  <Words>9527</Words>
  <Characters>11295</Characters>
  <Lines>104</Lines>
  <Paragraphs>29</Paragraphs>
  <TotalTime>35</TotalTime>
  <ScaleCrop>false</ScaleCrop>
  <LinksUpToDate>false</LinksUpToDate>
  <CharactersWithSpaces>11450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2020-05-26T05:37:00Z</dcterms:created>
  <dc:creator>翘楚 李</dc:creator>
  <cp:lastModifiedBy>PX</cp:lastModifiedBy>
  <cp:lastPrinted>2022-03-28T09:05:00Z</cp:lastPrinted>
  <dcterms:modified xsi:type="dcterms:W3CDTF">2023-02-16T13:23:17Z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1B7ADCCA288D4D36A41E31EE93425CB1</vt:lpwstr>
  </property>
</Properties>
</file>